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359"/>
        <w:spacing w:after="0"/>
        <w:rPr>
          <w:sz w:val="20"/>
          <w:szCs w:val="20"/>
          <w:color w:val="auto"/>
        </w:rPr>
      </w:pPr>
      <w:r>
        <w:rPr>
          <w:rFonts w:ascii="Arial" w:cs="Arial" w:eastAsia="Arial" w:hAnsi="Arial"/>
          <w:sz w:val="32"/>
          <w:szCs w:val="32"/>
          <w:b w:val="1"/>
          <w:bCs w:val="1"/>
          <w:color w:val="auto"/>
        </w:rPr>
        <w:drawing>
          <wp:anchor simplePos="0" relativeHeight="251657728" behindDoc="1" locked="0" layoutInCell="0" allowOverlap="1">
            <wp:simplePos x="0" y="0"/>
            <wp:positionH relativeFrom="page">
              <wp:posOffset>276860</wp:posOffset>
            </wp:positionH>
            <wp:positionV relativeFrom="page">
              <wp:posOffset>166370</wp:posOffset>
            </wp:positionV>
            <wp:extent cx="6995160" cy="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6995160" cy="8255"/>
                    </a:xfrm>
                    <a:prstGeom prst="rect">
                      <a:avLst/>
                    </a:prstGeom>
                    <a:noFill/>
                  </pic:spPr>
                </pic:pic>
              </a:graphicData>
            </a:graphic>
          </wp:anchor>
        </w:drawing>
        <w:drawing>
          <wp:anchor simplePos="0" relativeHeight="251657728" behindDoc="1" locked="0" layoutInCell="0" allowOverlap="1">
            <wp:simplePos x="0" y="0"/>
            <wp:positionH relativeFrom="page">
              <wp:posOffset>276860</wp:posOffset>
            </wp:positionH>
            <wp:positionV relativeFrom="page">
              <wp:posOffset>208915</wp:posOffset>
            </wp:positionV>
            <wp:extent cx="6995160"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6995160" cy="8255"/>
                    </a:xfrm>
                    <a:prstGeom prst="rect">
                      <a:avLst/>
                    </a:prstGeom>
                    <a:noFill/>
                  </pic:spPr>
                </pic:pic>
              </a:graphicData>
            </a:graphic>
          </wp:anchor>
        </w:drawing>
        <w:t>UNITED STATES</w:t>
      </w:r>
    </w:p>
    <w:p>
      <w:pPr>
        <w:spacing w:after="0" w:line="31" w:lineRule="exact"/>
        <w:rPr>
          <w:sz w:val="24"/>
          <w:szCs w:val="24"/>
          <w:color w:val="auto"/>
        </w:rPr>
      </w:pPr>
    </w:p>
    <w:p>
      <w:pPr>
        <w:jc w:val="center"/>
        <w:ind w:right="-359"/>
        <w:spacing w:after="0"/>
        <w:rPr>
          <w:sz w:val="20"/>
          <w:szCs w:val="20"/>
          <w:color w:val="auto"/>
        </w:rPr>
      </w:pPr>
      <w:r>
        <w:rPr>
          <w:rFonts w:ascii="Arial" w:cs="Arial" w:eastAsia="Arial" w:hAnsi="Arial"/>
          <w:sz w:val="32"/>
          <w:szCs w:val="32"/>
          <w:b w:val="1"/>
          <w:bCs w:val="1"/>
          <w:color w:val="auto"/>
        </w:rPr>
        <w:t>SECURITIES AND EXCHANGE COMMISSION</w:t>
      </w:r>
    </w:p>
    <w:p>
      <w:pPr>
        <w:jc w:val="center"/>
        <w:ind w:right="-359"/>
        <w:spacing w:after="0"/>
        <w:rPr>
          <w:sz w:val="20"/>
          <w:szCs w:val="20"/>
          <w:color w:val="auto"/>
        </w:rPr>
      </w:pPr>
      <w:r>
        <w:rPr>
          <w:rFonts w:ascii="Arial" w:cs="Arial" w:eastAsia="Arial" w:hAnsi="Arial"/>
          <w:sz w:val="22"/>
          <w:szCs w:val="22"/>
          <w:b w:val="1"/>
          <w:bCs w:val="1"/>
          <w:color w:val="auto"/>
        </w:rPr>
        <w:t>WASHINGTON D.C. 20549</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2757805</wp:posOffset>
            </wp:positionH>
            <wp:positionV relativeFrom="paragraph">
              <wp:posOffset>227330</wp:posOffset>
            </wp:positionV>
            <wp:extent cx="1474470" cy="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1474470" cy="8255"/>
                    </a:xfrm>
                    <a:prstGeom prst="rect">
                      <a:avLst/>
                    </a:prstGeom>
                    <a:noFill/>
                  </pic:spPr>
                </pic:pic>
              </a:graphicData>
            </a:graphic>
          </wp:anchor>
        </w:drawing>
      </w:r>
    </w:p>
    <w:p>
      <w:pPr>
        <w:spacing w:after="0" w:line="200" w:lineRule="exact"/>
        <w:rPr>
          <w:sz w:val="24"/>
          <w:szCs w:val="24"/>
          <w:color w:val="auto"/>
        </w:rPr>
      </w:pPr>
    </w:p>
    <w:p>
      <w:pPr>
        <w:spacing w:after="0" w:line="326" w:lineRule="exact"/>
        <w:rPr>
          <w:sz w:val="24"/>
          <w:szCs w:val="24"/>
          <w:color w:val="auto"/>
        </w:rPr>
      </w:pPr>
    </w:p>
    <w:p>
      <w:pPr>
        <w:jc w:val="center"/>
        <w:ind w:right="-359"/>
        <w:spacing w:after="0"/>
        <w:rPr>
          <w:sz w:val="20"/>
          <w:szCs w:val="20"/>
          <w:color w:val="auto"/>
        </w:rPr>
      </w:pPr>
      <w:r>
        <w:rPr>
          <w:rFonts w:ascii="Arial" w:cs="Arial" w:eastAsia="Arial" w:hAnsi="Arial"/>
          <w:sz w:val="32"/>
          <w:szCs w:val="32"/>
          <w:b w:val="1"/>
          <w:bCs w:val="1"/>
          <w:color w:val="auto"/>
        </w:rPr>
        <w:t>FORM 6-K</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2757805</wp:posOffset>
            </wp:positionH>
            <wp:positionV relativeFrom="paragraph">
              <wp:posOffset>247015</wp:posOffset>
            </wp:positionV>
            <wp:extent cx="1474470" cy="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1474470" cy="8255"/>
                    </a:xfrm>
                    <a:prstGeom prst="rect">
                      <a:avLst/>
                    </a:prstGeom>
                    <a:noFill/>
                  </pic:spPr>
                </pic:pic>
              </a:graphicData>
            </a:graphic>
          </wp:anchor>
        </w:drawing>
      </w:r>
    </w:p>
    <w:p>
      <w:pPr>
        <w:spacing w:after="0" w:line="200" w:lineRule="exact"/>
        <w:rPr>
          <w:sz w:val="24"/>
          <w:szCs w:val="24"/>
          <w:color w:val="auto"/>
        </w:rPr>
      </w:pPr>
    </w:p>
    <w:p>
      <w:pPr>
        <w:spacing w:after="0" w:line="371" w:lineRule="exact"/>
        <w:rPr>
          <w:sz w:val="24"/>
          <w:szCs w:val="24"/>
          <w:color w:val="auto"/>
        </w:rPr>
      </w:pPr>
    </w:p>
    <w:p>
      <w:pPr>
        <w:jc w:val="center"/>
        <w:ind w:right="-339"/>
        <w:spacing w:after="0"/>
        <w:rPr>
          <w:sz w:val="20"/>
          <w:szCs w:val="20"/>
          <w:color w:val="auto"/>
        </w:rPr>
      </w:pPr>
      <w:r>
        <w:rPr>
          <w:rFonts w:ascii="Arial" w:cs="Arial" w:eastAsia="Arial" w:hAnsi="Arial"/>
          <w:sz w:val="22"/>
          <w:szCs w:val="22"/>
          <w:b w:val="1"/>
          <w:bCs w:val="1"/>
          <w:color w:val="auto"/>
        </w:rPr>
        <w:t>REPORT OF FOREIGN PRIVATE ISSUER</w:t>
      </w:r>
    </w:p>
    <w:p>
      <w:pPr>
        <w:spacing w:after="0" w:line="4" w:lineRule="exact"/>
        <w:rPr>
          <w:sz w:val="24"/>
          <w:szCs w:val="24"/>
          <w:color w:val="auto"/>
        </w:rPr>
      </w:pPr>
    </w:p>
    <w:p>
      <w:pPr>
        <w:jc w:val="center"/>
        <w:ind w:right="-359"/>
        <w:spacing w:after="0"/>
        <w:rPr>
          <w:sz w:val="20"/>
          <w:szCs w:val="20"/>
          <w:color w:val="auto"/>
        </w:rPr>
      </w:pPr>
      <w:r>
        <w:rPr>
          <w:rFonts w:ascii="Arial" w:cs="Arial" w:eastAsia="Arial" w:hAnsi="Arial"/>
          <w:sz w:val="22"/>
          <w:szCs w:val="22"/>
          <w:b w:val="1"/>
          <w:bCs w:val="1"/>
          <w:color w:val="auto"/>
        </w:rPr>
        <w:t>PURSUANT TO RULE 13a-16 OR 15d-16</w:t>
      </w:r>
    </w:p>
    <w:p>
      <w:pPr>
        <w:jc w:val="center"/>
        <w:ind w:right="-359"/>
        <w:spacing w:after="0"/>
        <w:rPr>
          <w:sz w:val="20"/>
          <w:szCs w:val="20"/>
          <w:color w:val="auto"/>
        </w:rPr>
      </w:pPr>
      <w:r>
        <w:rPr>
          <w:rFonts w:ascii="Arial" w:cs="Arial" w:eastAsia="Arial" w:hAnsi="Arial"/>
          <w:sz w:val="22"/>
          <w:szCs w:val="22"/>
          <w:b w:val="1"/>
          <w:bCs w:val="1"/>
          <w:color w:val="auto"/>
        </w:rPr>
        <w:t>OF THE SECURITIES EXCHANGE ACT OF 1934</w:t>
      </w:r>
    </w:p>
    <w:p>
      <w:pPr>
        <w:spacing w:after="0" w:line="191" w:lineRule="exact"/>
        <w:rPr>
          <w:sz w:val="24"/>
          <w:szCs w:val="24"/>
          <w:color w:val="auto"/>
        </w:rPr>
      </w:pPr>
    </w:p>
    <w:p>
      <w:pPr>
        <w:jc w:val="center"/>
        <w:ind w:right="-359"/>
        <w:spacing w:after="0"/>
        <w:rPr>
          <w:sz w:val="20"/>
          <w:szCs w:val="20"/>
          <w:color w:val="auto"/>
        </w:rPr>
      </w:pPr>
      <w:r>
        <w:rPr>
          <w:rFonts w:ascii="Arial" w:cs="Arial" w:eastAsia="Arial" w:hAnsi="Arial"/>
          <w:sz w:val="18"/>
          <w:szCs w:val="18"/>
          <w:b w:val="1"/>
          <w:bCs w:val="1"/>
          <w:color w:val="auto"/>
        </w:rPr>
        <w:t>For the month of August 2021</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2757805</wp:posOffset>
            </wp:positionH>
            <wp:positionV relativeFrom="paragraph">
              <wp:posOffset>240030</wp:posOffset>
            </wp:positionV>
            <wp:extent cx="1474470" cy="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1474470" cy="8255"/>
                    </a:xfrm>
                    <a:prstGeom prst="rect">
                      <a:avLst/>
                    </a:prstGeom>
                    <a:noFill/>
                  </pic:spPr>
                </pic:pic>
              </a:graphicData>
            </a:graphic>
          </wp:anchor>
        </w:drawing>
      </w:r>
    </w:p>
    <w:p>
      <w:pPr>
        <w:spacing w:after="0" w:line="200" w:lineRule="exact"/>
        <w:rPr>
          <w:sz w:val="24"/>
          <w:szCs w:val="24"/>
          <w:color w:val="auto"/>
        </w:rPr>
      </w:pPr>
    </w:p>
    <w:p>
      <w:pPr>
        <w:spacing w:after="0" w:line="370" w:lineRule="exact"/>
        <w:rPr>
          <w:sz w:val="24"/>
          <w:szCs w:val="24"/>
          <w:color w:val="auto"/>
        </w:rPr>
      </w:pPr>
    </w:p>
    <w:p>
      <w:pPr>
        <w:jc w:val="center"/>
        <w:ind w:right="-359"/>
        <w:spacing w:after="0"/>
        <w:rPr>
          <w:sz w:val="20"/>
          <w:szCs w:val="20"/>
          <w:color w:val="auto"/>
        </w:rPr>
      </w:pPr>
      <w:r>
        <w:rPr>
          <w:rFonts w:ascii="Arial" w:cs="Arial" w:eastAsia="Arial" w:hAnsi="Arial"/>
          <w:sz w:val="18"/>
          <w:szCs w:val="18"/>
          <w:b w:val="1"/>
          <w:bCs w:val="1"/>
          <w:color w:val="auto"/>
        </w:rPr>
        <w:t>Commission File Number: 001-38590</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2757805</wp:posOffset>
            </wp:positionH>
            <wp:positionV relativeFrom="paragraph">
              <wp:posOffset>248920</wp:posOffset>
            </wp:positionV>
            <wp:extent cx="1474470" cy="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1474470" cy="8255"/>
                    </a:xfrm>
                    <a:prstGeom prst="rect">
                      <a:avLst/>
                    </a:prstGeom>
                    <a:noFill/>
                  </pic:spPr>
                </pic:pic>
              </a:graphicData>
            </a:graphic>
          </wp:anchor>
        </w:drawing>
      </w:r>
    </w:p>
    <w:p>
      <w:pPr>
        <w:spacing w:after="0" w:line="200" w:lineRule="exact"/>
        <w:rPr>
          <w:sz w:val="24"/>
          <w:szCs w:val="24"/>
          <w:color w:val="auto"/>
        </w:rPr>
      </w:pPr>
    </w:p>
    <w:p>
      <w:pPr>
        <w:spacing w:after="0" w:line="358" w:lineRule="exact"/>
        <w:rPr>
          <w:sz w:val="24"/>
          <w:szCs w:val="24"/>
          <w:color w:val="auto"/>
        </w:rPr>
      </w:pPr>
    </w:p>
    <w:p>
      <w:pPr>
        <w:jc w:val="center"/>
        <w:ind w:right="-359"/>
        <w:spacing w:after="0"/>
        <w:rPr>
          <w:sz w:val="20"/>
          <w:szCs w:val="20"/>
          <w:color w:val="auto"/>
        </w:rPr>
      </w:pPr>
      <w:r>
        <w:rPr>
          <w:rFonts w:ascii="Arial" w:cs="Arial" w:eastAsia="Arial" w:hAnsi="Arial"/>
          <w:sz w:val="43"/>
          <w:szCs w:val="43"/>
          <w:b w:val="1"/>
          <w:bCs w:val="1"/>
          <w:color w:val="auto"/>
        </w:rPr>
        <w:t>CANGO INC.</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2757805</wp:posOffset>
            </wp:positionH>
            <wp:positionV relativeFrom="paragraph">
              <wp:posOffset>253365</wp:posOffset>
            </wp:positionV>
            <wp:extent cx="1474470" cy="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1474470" cy="8255"/>
                    </a:xfrm>
                    <a:prstGeom prst="rect">
                      <a:avLst/>
                    </a:prstGeom>
                    <a:noFill/>
                  </pic:spPr>
                </pic:pic>
              </a:graphicData>
            </a:graphic>
          </wp:anchor>
        </w:drawing>
      </w:r>
    </w:p>
    <w:p>
      <w:pPr>
        <w:spacing w:after="0" w:line="200" w:lineRule="exact"/>
        <w:rPr>
          <w:sz w:val="24"/>
          <w:szCs w:val="24"/>
          <w:color w:val="auto"/>
        </w:rPr>
      </w:pPr>
    </w:p>
    <w:p>
      <w:pPr>
        <w:spacing w:after="0" w:line="391" w:lineRule="exact"/>
        <w:rPr>
          <w:sz w:val="24"/>
          <w:szCs w:val="24"/>
          <w:color w:val="auto"/>
        </w:rPr>
      </w:pPr>
    </w:p>
    <w:p>
      <w:pPr>
        <w:jc w:val="center"/>
        <w:ind w:right="-359"/>
        <w:spacing w:after="0"/>
        <w:rPr>
          <w:sz w:val="20"/>
          <w:szCs w:val="20"/>
          <w:color w:val="auto"/>
        </w:rPr>
      </w:pPr>
      <w:r>
        <w:rPr>
          <w:rFonts w:ascii="Arial" w:cs="Arial" w:eastAsia="Arial" w:hAnsi="Arial"/>
          <w:sz w:val="18"/>
          <w:szCs w:val="18"/>
          <w:b w:val="1"/>
          <w:bCs w:val="1"/>
          <w:color w:val="auto"/>
        </w:rPr>
        <w:t>10A, Building 3, Youyou Century Plaza</w:t>
      </w:r>
    </w:p>
    <w:p>
      <w:pPr>
        <w:spacing w:after="0" w:line="27" w:lineRule="exact"/>
        <w:rPr>
          <w:sz w:val="24"/>
          <w:szCs w:val="24"/>
          <w:color w:val="auto"/>
        </w:rPr>
      </w:pPr>
    </w:p>
    <w:p>
      <w:pPr>
        <w:jc w:val="center"/>
        <w:ind w:right="-359"/>
        <w:spacing w:after="0"/>
        <w:rPr>
          <w:sz w:val="20"/>
          <w:szCs w:val="20"/>
          <w:color w:val="auto"/>
        </w:rPr>
      </w:pPr>
      <w:r>
        <w:rPr>
          <w:rFonts w:ascii="Arial" w:cs="Arial" w:eastAsia="Arial" w:hAnsi="Arial"/>
          <w:sz w:val="18"/>
          <w:szCs w:val="18"/>
          <w:b w:val="1"/>
          <w:bCs w:val="1"/>
          <w:color w:val="auto"/>
        </w:rPr>
        <w:t>428 South Yanggao Road</w:t>
      </w:r>
    </w:p>
    <w:p>
      <w:pPr>
        <w:spacing w:after="0" w:line="9" w:lineRule="exact"/>
        <w:rPr>
          <w:sz w:val="24"/>
          <w:szCs w:val="24"/>
          <w:color w:val="auto"/>
        </w:rPr>
      </w:pPr>
    </w:p>
    <w:p>
      <w:pPr>
        <w:jc w:val="center"/>
        <w:ind w:right="-359"/>
        <w:spacing w:after="0"/>
        <w:rPr>
          <w:sz w:val="20"/>
          <w:szCs w:val="20"/>
          <w:color w:val="auto"/>
        </w:rPr>
      </w:pPr>
      <w:r>
        <w:rPr>
          <w:rFonts w:ascii="Arial" w:cs="Arial" w:eastAsia="Arial" w:hAnsi="Arial"/>
          <w:sz w:val="18"/>
          <w:szCs w:val="18"/>
          <w:b w:val="1"/>
          <w:bCs w:val="1"/>
          <w:color w:val="auto"/>
        </w:rPr>
        <w:t>Pudong New Area, Shanghai 200127</w:t>
      </w:r>
    </w:p>
    <w:p>
      <w:pPr>
        <w:spacing w:after="0" w:line="9" w:lineRule="exact"/>
        <w:rPr>
          <w:sz w:val="24"/>
          <w:szCs w:val="24"/>
          <w:color w:val="auto"/>
        </w:rPr>
      </w:pPr>
    </w:p>
    <w:p>
      <w:pPr>
        <w:jc w:val="center"/>
        <w:ind w:right="-359"/>
        <w:spacing w:after="0"/>
        <w:rPr>
          <w:sz w:val="20"/>
          <w:szCs w:val="20"/>
          <w:color w:val="auto"/>
        </w:rPr>
      </w:pPr>
      <w:r>
        <w:rPr>
          <w:rFonts w:ascii="Arial" w:cs="Arial" w:eastAsia="Arial" w:hAnsi="Arial"/>
          <w:sz w:val="18"/>
          <w:szCs w:val="18"/>
          <w:b w:val="1"/>
          <w:bCs w:val="1"/>
          <w:color w:val="auto"/>
        </w:rPr>
        <w:t>People’s Republic of China</w:t>
      </w:r>
    </w:p>
    <w:p>
      <w:pPr>
        <w:spacing w:after="0" w:line="2" w:lineRule="exact"/>
        <w:rPr>
          <w:sz w:val="24"/>
          <w:szCs w:val="24"/>
          <w:color w:val="auto"/>
        </w:rPr>
      </w:pPr>
    </w:p>
    <w:p>
      <w:pPr>
        <w:jc w:val="center"/>
        <w:ind w:right="-359"/>
        <w:spacing w:after="0"/>
        <w:rPr>
          <w:sz w:val="20"/>
          <w:szCs w:val="20"/>
          <w:color w:val="auto"/>
        </w:rPr>
      </w:pPr>
      <w:r>
        <w:rPr>
          <w:rFonts w:ascii="Arial" w:cs="Arial" w:eastAsia="Arial" w:hAnsi="Arial"/>
          <w:sz w:val="14"/>
          <w:szCs w:val="14"/>
          <w:b w:val="1"/>
          <w:bCs w:val="1"/>
          <w:color w:val="auto"/>
        </w:rPr>
        <w:t>(Address of principal executive offices)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2757805</wp:posOffset>
            </wp:positionH>
            <wp:positionV relativeFrom="paragraph">
              <wp:posOffset>219075</wp:posOffset>
            </wp:positionV>
            <wp:extent cx="1474470" cy="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1474470" cy="8255"/>
                    </a:xfrm>
                    <a:prstGeom prst="rect">
                      <a:avLst/>
                    </a:prstGeom>
                    <a:noFill/>
                  </pic:spPr>
                </pic:pic>
              </a:graphicData>
            </a:graphic>
          </wp:anchor>
        </w:drawing>
      </w:r>
    </w:p>
    <w:p>
      <w:pPr>
        <w:spacing w:after="0" w:line="200" w:lineRule="exact"/>
        <w:rPr>
          <w:sz w:val="24"/>
          <w:szCs w:val="24"/>
          <w:color w:val="auto"/>
        </w:rPr>
      </w:pPr>
    </w:p>
    <w:p>
      <w:pPr>
        <w:spacing w:after="0" w:line="340"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Form 20-F or Form 40-F.</w:t>
      </w:r>
    </w:p>
    <w:p>
      <w:pPr>
        <w:spacing w:after="0" w:line="192" w:lineRule="exact"/>
        <w:rPr>
          <w:sz w:val="24"/>
          <w:szCs w:val="24"/>
          <w:color w:val="auto"/>
        </w:rPr>
      </w:pPr>
    </w:p>
    <w:p>
      <w:pPr>
        <w:ind w:left="4180"/>
        <w:spacing w:after="0" w:line="207" w:lineRule="exact"/>
        <w:tabs>
          <w:tab w:leader="none" w:pos="5780" w:val="left"/>
        </w:tabs>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sz w:val="20"/>
          <w:szCs w:val="20"/>
          <w:color w:val="auto"/>
        </w:rPr>
        <w:tab/>
      </w:r>
      <w:r>
        <w:rPr>
          <w:rFonts w:ascii="Arial" w:cs="Arial" w:eastAsia="Arial" w:hAnsi="Arial"/>
          <w:sz w:val="17"/>
          <w:szCs w:val="17"/>
          <w:color w:val="auto"/>
        </w:rPr>
        <w:t xml:space="preserve">Form 40-F </w:t>
      </w:r>
      <w:r>
        <w:rPr>
          <w:rFonts w:ascii="MS PGothic" w:cs="MS PGothic" w:eastAsia="MS PGothic" w:hAnsi="MS PGothic"/>
          <w:sz w:val="17"/>
          <w:szCs w:val="17"/>
          <w:color w:val="auto"/>
        </w:rPr>
        <w:t>☐</w:t>
      </w:r>
    </w:p>
    <w:p>
      <w:pPr>
        <w:spacing w:after="0" w:line="225" w:lineRule="exact"/>
        <w:rPr>
          <w:sz w:val="24"/>
          <w:szCs w:val="24"/>
          <w:color w:val="auto"/>
        </w:rPr>
      </w:pPr>
    </w:p>
    <w:p>
      <w:pPr>
        <w:spacing w:after="0" w:line="207" w:lineRule="exact"/>
        <w:rPr>
          <w:sz w:val="20"/>
          <w:szCs w:val="20"/>
          <w:color w:val="auto"/>
        </w:rPr>
      </w:pPr>
      <w:r>
        <w:rPr>
          <w:rFonts w:ascii="Arial" w:cs="Arial" w:eastAsia="Arial" w:hAnsi="Arial"/>
          <w:sz w:val="18"/>
          <w:szCs w:val="18"/>
          <w:color w:val="auto"/>
        </w:rPr>
        <w:t xml:space="preserve">Indicate by check mark if the registrant is submitting the Form 6-K in paper as permitted by Regulation S-T Rule 101(b)(1): </w:t>
      </w:r>
      <w:r>
        <w:rPr>
          <w:rFonts w:ascii="MS PGothic" w:cs="MS PGothic" w:eastAsia="MS PGothic" w:hAnsi="MS PGothic"/>
          <w:sz w:val="18"/>
          <w:szCs w:val="18"/>
          <w:color w:val="auto"/>
        </w:rPr>
        <w:t>☐</w:t>
      </w:r>
    </w:p>
    <w:p>
      <w:pPr>
        <w:spacing w:after="0" w:line="225" w:lineRule="exact"/>
        <w:rPr>
          <w:sz w:val="24"/>
          <w:szCs w:val="24"/>
          <w:color w:val="auto"/>
        </w:rPr>
      </w:pPr>
    </w:p>
    <w:p>
      <w:pPr>
        <w:spacing w:after="0" w:line="207" w:lineRule="exact"/>
        <w:rPr>
          <w:sz w:val="20"/>
          <w:szCs w:val="20"/>
          <w:color w:val="auto"/>
        </w:rPr>
      </w:pPr>
      <w:r>
        <w:rPr>
          <w:rFonts w:ascii="Arial" w:cs="Arial" w:eastAsia="Arial" w:hAnsi="Arial"/>
          <w:sz w:val="18"/>
          <w:szCs w:val="18"/>
          <w:color w:val="auto"/>
        </w:rPr>
        <w:t xml:space="preserve">Indicate by check mark if the registrant is submitting the Form 6-K in paper as permitted by Regulation S-T Rule 101(b)(7):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line="277" w:lineRule="auto"/>
        <w:rPr>
          <w:sz w:val="20"/>
          <w:szCs w:val="20"/>
          <w:color w:val="auto"/>
        </w:rPr>
      </w:pPr>
      <w:r>
        <w:rPr>
          <w:rFonts w:ascii="Arial" w:cs="Arial" w:eastAsia="Arial" w:hAnsi="Arial"/>
          <w:sz w:val="18"/>
          <w:szCs w:val="18"/>
          <w:color w:val="auto"/>
        </w:rPr>
        <w:t>Indicate by check mark whether by furnishing the information contained in this Form, the registrant is also thereby furnishing the information to the Commission pursuant to Rule 12g3-2(b) under the Securities Exchange Act of 1934.</w:t>
      </w:r>
    </w:p>
    <w:p>
      <w:pPr>
        <w:spacing w:after="0" w:line="138" w:lineRule="exact"/>
        <w:rPr>
          <w:sz w:val="24"/>
          <w:szCs w:val="24"/>
          <w:color w:val="auto"/>
        </w:rPr>
      </w:pPr>
    </w:p>
    <w:p>
      <w:pPr>
        <w:jc w:val="center"/>
        <w:ind w:right="-339"/>
        <w:spacing w:after="0" w:line="207" w:lineRule="exact"/>
        <w:tabs>
          <w:tab w:leader="none" w:pos="520" w:val="left"/>
        </w:tabs>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sz w:val="20"/>
          <w:szCs w:val="20"/>
          <w:color w:val="auto"/>
        </w:rPr>
        <w:tab/>
      </w:r>
      <w:r>
        <w:rPr>
          <w:rFonts w:ascii="Arial" w:cs="Arial" w:eastAsia="Arial" w:hAnsi="Arial"/>
          <w:sz w:val="17"/>
          <w:szCs w:val="17"/>
          <w:color w:val="auto"/>
        </w:rPr>
        <w:t xml:space="preserve">No </w:t>
      </w:r>
      <w:r>
        <w:rPr>
          <w:rFonts w:ascii="MS PGothic" w:cs="MS PGothic" w:eastAsia="MS PGothic" w:hAnsi="MS PGothic"/>
          <w:sz w:val="17"/>
          <w:szCs w:val="17"/>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8"/>
          <w:szCs w:val="18"/>
          <w:color w:val="auto"/>
        </w:rPr>
        <w:t>If “Yes” is marked, indicate below the file number assigned to the registrant in connection with Rule 12g3-2(b): N/A</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-1905</wp:posOffset>
            </wp:positionH>
            <wp:positionV relativeFrom="paragraph">
              <wp:posOffset>160655</wp:posOffset>
            </wp:positionV>
            <wp:extent cx="6995160" cy="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6995160" cy="8255"/>
                    </a:xfrm>
                    <a:prstGeom prst="rect">
                      <a:avLst/>
                    </a:prstGeom>
                    <a:noFill/>
                  </pic:spPr>
                </pic:pic>
              </a:graphicData>
            </a:graphic>
          </wp:anchor>
        </w:drawing>
        <w:drawing>
          <wp:anchor simplePos="0" relativeHeight="251657728" behindDoc="1" locked="0" layoutInCell="0" allowOverlap="1">
            <wp:simplePos x="0" y="0"/>
            <wp:positionH relativeFrom="column">
              <wp:posOffset>-1905</wp:posOffset>
            </wp:positionH>
            <wp:positionV relativeFrom="paragraph">
              <wp:posOffset>203200</wp:posOffset>
            </wp:positionV>
            <wp:extent cx="6995160" cy="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6995160" cy="8255"/>
                    </a:xfrm>
                    <a:prstGeom prst="rect">
                      <a:avLst/>
                    </a:prstGeom>
                    <a:noFill/>
                  </pic:spPr>
                </pic:pic>
              </a:graphicData>
            </a:graphic>
          </wp:anchor>
        </w:drawing>
      </w:r>
    </w:p>
    <w:p>
      <w:pPr>
        <w:sectPr>
          <w:pgSz w:w="11900" w:h="16838" w:orient="portrait"/>
          <w:cols w:equalWidth="0" w:num="1">
            <w:col w:w="10660"/>
          </w:cols>
          <w:pgMar w:left="440" w:top="368" w:right="799" w:bottom="1440" w:gutter="0" w:footer="0" w:header="0"/>
        </w:sectPr>
      </w:pPr>
    </w:p>
    <w:bookmarkStart w:id="1" w:name="page2"/>
    <w:bookmarkEnd w:id="1"/>
    <w:p>
      <w:pPr>
        <w:ind w:left="4600"/>
        <w:spacing w:after="0"/>
        <w:rPr>
          <w:sz w:val="20"/>
          <w:szCs w:val="20"/>
          <w:color w:val="auto"/>
        </w:rPr>
      </w:pPr>
      <w:r>
        <w:rPr>
          <w:rFonts w:ascii="Arial" w:cs="Arial" w:eastAsia="Arial" w:hAnsi="Arial"/>
          <w:sz w:val="18"/>
          <w:szCs w:val="18"/>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73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174865" cy="38735"/>
                    </a:xfrm>
                    <a:prstGeom prst="rect">
                      <a:avLst/>
                    </a:prstGeom>
                    <a:noFill/>
                  </pic:spPr>
                </pic:pic>
              </a:graphicData>
            </a:graphic>
          </wp:anchor>
        </w:drawing>
        <w:t>TABLE OF CONTENTS</w:t>
      </w:r>
    </w:p>
    <w:p>
      <w:pPr>
        <w:spacing w:after="0" w:line="225" w:lineRule="exact"/>
        <w:rPr>
          <w:sz w:val="20"/>
          <w:szCs w:val="20"/>
          <w:color w:val="auto"/>
        </w:rPr>
      </w:pPr>
    </w:p>
    <w:p>
      <w:pPr>
        <w:ind w:right="3299"/>
        <w:spacing w:after="0" w:line="449" w:lineRule="auto"/>
        <w:rPr>
          <w:rFonts w:ascii="Arial" w:cs="Arial" w:eastAsia="Arial" w:hAnsi="Arial"/>
          <w:sz w:val="16"/>
          <w:szCs w:val="16"/>
          <w:u w:val="single" w:color="auto"/>
          <w:color w:val="0000EE"/>
        </w:rPr>
      </w:pPr>
      <w:hyperlink w:anchor="page4">
        <w:r>
          <w:rPr>
            <w:rFonts w:ascii="Arial" w:cs="Arial" w:eastAsia="Arial" w:hAnsi="Arial"/>
            <w:sz w:val="16"/>
            <w:szCs w:val="16"/>
            <w:u w:val="single" w:color="auto"/>
            <w:color w:val="0000EE"/>
          </w:rPr>
          <w:t>Exhibit 99.1 — Cango Inc. Reports Second Quarter 2021 Unaudited Financial Results</w:t>
        </w:r>
      </w:hyperlink>
      <w:r>
        <w:rPr>
          <w:rFonts w:ascii="Arial" w:cs="Arial" w:eastAsia="Arial" w:hAnsi="Arial"/>
          <w:sz w:val="16"/>
          <w:szCs w:val="16"/>
          <w:u w:val="single" w:color="auto"/>
          <w:color w:val="0000EE"/>
        </w:rPr>
        <w:t xml:space="preserve"> </w:t>
      </w:r>
      <w:hyperlink w:anchor="page14">
        <w:r>
          <w:rPr>
            <w:rFonts w:ascii="Arial" w:cs="Arial" w:eastAsia="Arial" w:hAnsi="Arial"/>
            <w:sz w:val="16"/>
            <w:szCs w:val="16"/>
            <w:u w:val="single" w:color="auto"/>
            <w:color w:val="0000EE"/>
          </w:rPr>
          <w:t>Exhibit 99.2 — Cango Inc. Announces up to US$50 Million New Share Repurchase Program</w:t>
        </w:r>
      </w:hyperlink>
    </w:p>
    <w:p>
      <w:pPr>
        <w:ind w:left="5460"/>
        <w:spacing w:after="0"/>
        <w:rPr>
          <w:sz w:val="20"/>
          <w:szCs w:val="20"/>
          <w:color w:val="auto"/>
        </w:rPr>
      </w:pPr>
      <w:r>
        <w:rPr>
          <w:rFonts w:ascii="Arial" w:cs="Arial" w:eastAsia="Arial" w:hAnsi="Arial"/>
          <w:sz w:val="18"/>
          <w:szCs w:val="18"/>
          <w:color w:val="auto"/>
        </w:rPr>
        <w:t>2</w:t>
      </w:r>
    </w:p>
    <w:p>
      <w:pPr>
        <w:sectPr>
          <w:pgSz w:w="11900" w:h="16838" w:orient="portrait"/>
          <w:cols w:equalWidth="0" w:num="1">
            <w:col w:w="10019"/>
          </w:cols>
          <w:pgMar w:left="440" w:top="274" w:right="1440" w:bottom="1440" w:gutter="0" w:footer="0" w:header="0"/>
        </w:sectPr>
      </w:pPr>
    </w:p>
    <w:bookmarkStart w:id="2" w:name="page3"/>
    <w:bookmarkEnd w:id="2"/>
    <w:p>
      <w:pPr>
        <w:jc w:val="center"/>
        <w:ind w:right="-19"/>
        <w:spacing w:after="0"/>
        <w:rPr>
          <w:sz w:val="20"/>
          <w:szCs w:val="20"/>
          <w:color w:val="auto"/>
        </w:rPr>
      </w:pPr>
      <w:r>
        <w:rPr>
          <w:rFonts w:ascii="Arial" w:cs="Arial" w:eastAsia="Arial" w:hAnsi="Arial"/>
          <w:sz w:val="18"/>
          <w:szCs w:val="18"/>
          <w:b w:val="1"/>
          <w:bCs w:val="1"/>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10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174865" cy="38100"/>
                    </a:xfrm>
                    <a:prstGeom prst="rect">
                      <a:avLst/>
                    </a:prstGeom>
                    <a:noFill/>
                  </pic:spPr>
                </pic:pic>
              </a:graphicData>
            </a:graphic>
          </wp:anchor>
        </w:drawing>
        <w:t>SIGNATURE</w:t>
      </w:r>
    </w:p>
    <w:p>
      <w:pPr>
        <w:spacing w:after="0" w:line="229" w:lineRule="exact"/>
        <w:rPr>
          <w:sz w:val="20"/>
          <w:szCs w:val="20"/>
          <w:color w:val="auto"/>
        </w:rPr>
      </w:pPr>
    </w:p>
    <w:p>
      <w:pPr>
        <w:ind w:firstLine="991"/>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197" w:lineRule="exact"/>
        <w:rPr>
          <w:sz w:val="20"/>
          <w:szCs w:val="20"/>
          <w:color w:val="auto"/>
        </w:rPr>
      </w:pPr>
    </w:p>
    <w:p>
      <w:pPr>
        <w:ind w:left="6620"/>
        <w:spacing w:after="0"/>
        <w:rPr>
          <w:sz w:val="20"/>
          <w:szCs w:val="20"/>
          <w:color w:val="auto"/>
        </w:rPr>
      </w:pPr>
      <w:r>
        <w:rPr>
          <w:rFonts w:ascii="Arial" w:cs="Arial" w:eastAsia="Arial" w:hAnsi="Arial"/>
          <w:sz w:val="18"/>
          <w:szCs w:val="18"/>
          <w:color w:val="auto"/>
        </w:rPr>
        <w:t>CANGO INC.</w:t>
      </w:r>
    </w:p>
    <w:p>
      <w:pPr>
        <w:spacing w:after="0" w:line="225" w:lineRule="exact"/>
        <w:rPr>
          <w:sz w:val="20"/>
          <w:szCs w:val="20"/>
          <w:color w:val="auto"/>
        </w:rPr>
      </w:pPr>
    </w:p>
    <w:p>
      <w:pPr>
        <w:ind w:left="6620"/>
        <w:spacing w:after="0"/>
        <w:tabs>
          <w:tab w:leader="none" w:pos="7180" w:val="left"/>
        </w:tabs>
        <w:rPr>
          <w:sz w:val="20"/>
          <w:szCs w:val="20"/>
          <w:color w:val="auto"/>
        </w:rPr>
      </w:pPr>
      <w:r>
        <w:rPr>
          <w:rFonts w:ascii="Arial" w:cs="Arial" w:eastAsia="Arial" w:hAnsi="Arial"/>
          <w:sz w:val="18"/>
          <w:szCs w:val="18"/>
          <w:color w:val="auto"/>
        </w:rPr>
        <w:t>By:</w:t>
      </w:r>
      <w:r>
        <w:rPr>
          <w:sz w:val="20"/>
          <w:szCs w:val="20"/>
          <w:color w:val="auto"/>
        </w:rPr>
        <w:tab/>
      </w:r>
      <w:r>
        <w:rPr>
          <w:rFonts w:ascii="Arial" w:cs="Arial" w:eastAsia="Arial" w:hAnsi="Arial"/>
          <w:sz w:val="18"/>
          <w:szCs w:val="18"/>
          <w:color w:val="auto"/>
        </w:rPr>
        <w:t>/s/ Yongyi Zhang</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4566285</wp:posOffset>
            </wp:positionH>
            <wp:positionV relativeFrom="paragraph">
              <wp:posOffset>14605</wp:posOffset>
            </wp:positionV>
            <wp:extent cx="2425700" cy="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2425700" cy="8890"/>
                    </a:xfrm>
                    <a:prstGeom prst="rect">
                      <a:avLst/>
                    </a:prstGeom>
                    <a:noFill/>
                  </pic:spPr>
                </pic:pic>
              </a:graphicData>
            </a:graphic>
          </wp:anchor>
        </w:drawing>
      </w:r>
    </w:p>
    <w:p>
      <w:pPr>
        <w:spacing w:after="0" w:line="16" w:lineRule="exact"/>
        <w:rPr>
          <w:sz w:val="20"/>
          <w:szCs w:val="20"/>
          <w:color w:val="auto"/>
        </w:rPr>
      </w:pPr>
    </w:p>
    <w:p>
      <w:pPr>
        <w:ind w:left="6620"/>
        <w:spacing w:after="0"/>
        <w:rPr>
          <w:sz w:val="20"/>
          <w:szCs w:val="20"/>
          <w:color w:val="auto"/>
        </w:rPr>
      </w:pPr>
      <w:r>
        <w:rPr>
          <w:rFonts w:ascii="Arial" w:cs="Arial" w:eastAsia="Arial" w:hAnsi="Arial"/>
          <w:sz w:val="18"/>
          <w:szCs w:val="18"/>
          <w:color w:val="auto"/>
        </w:rPr>
        <w:t>Name: Yongyi Zhang</w:t>
      </w:r>
    </w:p>
    <w:p>
      <w:pPr>
        <w:spacing w:after="0" w:line="23" w:lineRule="exact"/>
        <w:rPr>
          <w:sz w:val="20"/>
          <w:szCs w:val="20"/>
          <w:color w:val="auto"/>
        </w:rPr>
      </w:pPr>
    </w:p>
    <w:p>
      <w:pPr>
        <w:ind w:left="6620"/>
        <w:spacing w:after="0"/>
        <w:tabs>
          <w:tab w:leader="none" w:pos="7180" w:val="left"/>
        </w:tabs>
        <w:rPr>
          <w:sz w:val="20"/>
          <w:szCs w:val="20"/>
          <w:color w:val="auto"/>
        </w:rPr>
      </w:pPr>
      <w:r>
        <w:rPr>
          <w:rFonts w:ascii="Arial" w:cs="Arial" w:eastAsia="Arial" w:hAnsi="Arial"/>
          <w:sz w:val="18"/>
          <w:szCs w:val="18"/>
          <w:color w:val="auto"/>
        </w:rPr>
        <w:t>Title:</w:t>
        <w:tab/>
        <w:t>Chief Financial Officer</w:t>
      </w:r>
    </w:p>
    <w:p>
      <w:pPr>
        <w:spacing w:after="0" w:line="211" w:lineRule="exact"/>
        <w:rPr>
          <w:sz w:val="20"/>
          <w:szCs w:val="20"/>
          <w:color w:val="auto"/>
        </w:rPr>
      </w:pPr>
    </w:p>
    <w:p>
      <w:pPr>
        <w:spacing w:after="0"/>
        <w:rPr>
          <w:sz w:val="20"/>
          <w:szCs w:val="20"/>
          <w:color w:val="auto"/>
        </w:rPr>
      </w:pPr>
      <w:r>
        <w:rPr>
          <w:rFonts w:ascii="Arial" w:cs="Arial" w:eastAsia="Arial" w:hAnsi="Arial"/>
          <w:sz w:val="18"/>
          <w:szCs w:val="18"/>
          <w:color w:val="auto"/>
        </w:rPr>
        <w:t>Date: August 20, 2021</w:t>
      </w:r>
    </w:p>
    <w:p>
      <w:pPr>
        <w:spacing w:after="0" w:line="15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w:t>
      </w:r>
    </w:p>
    <w:p>
      <w:pPr>
        <w:sectPr>
          <w:pgSz w:w="11900" w:h="16838" w:orient="portrait"/>
          <w:cols w:equalWidth="0" w:num="1">
            <w:col w:w="11000"/>
          </w:cols>
          <w:pgMar w:left="440" w:top="270" w:right="459" w:bottom="1440" w:gutter="0" w:footer="0" w:header="0"/>
        </w:sectPr>
      </w:pPr>
    </w:p>
    <w:bookmarkStart w:id="3" w:name="page4"/>
    <w:bookmarkEnd w:id="3"/>
    <w:p>
      <w:pPr>
        <w:jc w:val="right"/>
        <w:spacing w:after="0"/>
        <w:rPr>
          <w:sz w:val="20"/>
          <w:szCs w:val="20"/>
          <w:color w:val="auto"/>
        </w:rPr>
      </w:pPr>
      <w:r>
        <w:rPr>
          <w:rFonts w:ascii="Arial" w:cs="Arial" w:eastAsia="Arial" w:hAnsi="Arial"/>
          <w:sz w:val="18"/>
          <w:szCs w:val="18"/>
          <w:b w:val="1"/>
          <w:bCs w:val="1"/>
          <w:color w:val="auto"/>
        </w:rPr>
        <w:t>Exhibit 99.1</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Cango Inc. Reports Second Quarter 2021 Unaudited Financial Results</w:t>
      </w:r>
    </w:p>
    <w:p>
      <w:pPr>
        <w:spacing w:after="0" w:line="229" w:lineRule="exact"/>
        <w:rPr>
          <w:sz w:val="20"/>
          <w:szCs w:val="20"/>
          <w:color w:val="auto"/>
        </w:rPr>
      </w:pPr>
    </w:p>
    <w:p>
      <w:pPr>
        <w:ind w:right="360"/>
        <w:spacing w:after="0" w:line="277" w:lineRule="auto"/>
        <w:rPr>
          <w:sz w:val="20"/>
          <w:szCs w:val="20"/>
          <w:color w:val="auto"/>
        </w:rPr>
      </w:pPr>
      <w:r>
        <w:rPr>
          <w:rFonts w:ascii="Arial" w:cs="Arial" w:eastAsia="Arial" w:hAnsi="Arial"/>
          <w:sz w:val="18"/>
          <w:szCs w:val="18"/>
          <w:color w:val="auto"/>
        </w:rPr>
        <w:t>SHANGHAI, August 19, 2021 /PRNewswire/ – Cango Inc. (NYSE: CANG) (“Cango” or the “Company”), a leading automotive transaction service platform in China, today announced its unaudited financial results for the second quarter of 2021.</w:t>
      </w:r>
    </w:p>
    <w:p>
      <w:pPr>
        <w:spacing w:after="0" w:line="27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Second Quarter 2021 Financial and Operational Highlights</w:t>
      </w:r>
    </w:p>
    <w:p>
      <w:pPr>
        <w:spacing w:after="0" w:line="135" w:lineRule="exact"/>
        <w:rPr>
          <w:sz w:val="20"/>
          <w:szCs w:val="20"/>
          <w:color w:val="auto"/>
        </w:rPr>
      </w:pPr>
    </w:p>
    <w:p>
      <w:pPr>
        <w:ind w:left="960" w:right="100" w:hanging="424"/>
        <w:spacing w:after="0" w:line="263" w:lineRule="auto"/>
        <w:tabs>
          <w:tab w:leader="none" w:pos="960" w:val="left"/>
        </w:tabs>
        <w:numPr>
          <w:ilvl w:val="0"/>
          <w:numId w:val="1"/>
        </w:numPr>
        <w:rPr>
          <w:rFonts w:ascii="Arial" w:cs="Arial" w:eastAsia="Arial" w:hAnsi="Arial"/>
          <w:sz w:val="18"/>
          <w:szCs w:val="18"/>
          <w:color w:val="auto"/>
        </w:rPr>
      </w:pPr>
      <w:r>
        <w:rPr>
          <w:rFonts w:ascii="Arial" w:cs="Arial" w:eastAsia="Arial" w:hAnsi="Arial"/>
          <w:sz w:val="18"/>
          <w:szCs w:val="18"/>
          <w:color w:val="auto"/>
        </w:rPr>
        <w:t>Total revenues were RMB946.7 million (US$146.6 million), a 245.5% increase from RMB274.1 million in the same period of 2020, meeting the Company’s previous guidance range. The increase was mainly driven by the increased amounts of both financing transactions the Company facilitated and car trading transactions in the second quarter of 2021.</w:t>
      </w:r>
    </w:p>
    <w:p>
      <w:pPr>
        <w:spacing w:after="0" w:line="89" w:lineRule="exact"/>
        <w:rPr>
          <w:rFonts w:ascii="Arial" w:cs="Arial" w:eastAsia="Arial" w:hAnsi="Arial"/>
          <w:sz w:val="18"/>
          <w:szCs w:val="18"/>
          <w:color w:val="auto"/>
        </w:rPr>
      </w:pPr>
    </w:p>
    <w:p>
      <w:pPr>
        <w:ind w:left="960" w:hanging="424"/>
        <w:spacing w:after="0"/>
        <w:tabs>
          <w:tab w:leader="none" w:pos="960" w:val="left"/>
        </w:tabs>
        <w:numPr>
          <w:ilvl w:val="0"/>
          <w:numId w:val="1"/>
        </w:numPr>
        <w:rPr>
          <w:rFonts w:ascii="Arial" w:cs="Arial" w:eastAsia="Arial" w:hAnsi="Arial"/>
          <w:sz w:val="16"/>
          <w:szCs w:val="16"/>
          <w:color w:val="auto"/>
        </w:rPr>
      </w:pPr>
      <w:r>
        <w:rPr>
          <w:rFonts w:ascii="Arial" w:cs="Arial" w:eastAsia="Arial" w:hAnsi="Arial"/>
          <w:sz w:val="16"/>
          <w:szCs w:val="16"/>
          <w:color w:val="auto"/>
        </w:rPr>
        <w:t>Car trading transactions revenues were RMB522.5 million (US$80.9 million), or 55.2% of total revenues in the second quarter of 2021.</w:t>
      </w:r>
    </w:p>
    <w:p>
      <w:pPr>
        <w:spacing w:after="0" w:line="153" w:lineRule="exact"/>
        <w:rPr>
          <w:rFonts w:ascii="Arial" w:cs="Arial" w:eastAsia="Arial" w:hAnsi="Arial"/>
          <w:sz w:val="16"/>
          <w:szCs w:val="16"/>
          <w:color w:val="auto"/>
        </w:rPr>
      </w:pPr>
    </w:p>
    <w:p>
      <w:pPr>
        <w:ind w:left="960" w:right="140" w:hanging="424"/>
        <w:spacing w:after="0" w:line="277" w:lineRule="auto"/>
        <w:tabs>
          <w:tab w:leader="none" w:pos="960" w:val="left"/>
        </w:tabs>
        <w:numPr>
          <w:ilvl w:val="0"/>
          <w:numId w:val="1"/>
        </w:numPr>
        <w:rPr>
          <w:rFonts w:ascii="Arial" w:cs="Arial" w:eastAsia="Arial" w:hAnsi="Arial"/>
          <w:sz w:val="18"/>
          <w:szCs w:val="18"/>
          <w:color w:val="auto"/>
        </w:rPr>
      </w:pPr>
      <w:r>
        <w:rPr>
          <w:rFonts w:ascii="Arial" w:cs="Arial" w:eastAsia="Arial" w:hAnsi="Arial"/>
          <w:sz w:val="18"/>
          <w:szCs w:val="18"/>
          <w:color w:val="auto"/>
        </w:rPr>
        <w:t>Automotive financing facilitation revenues were RMB303.3 million (US$47.0 million), a 111.2% increase from RMB143.6 million in the same period of 2020.</w:t>
      </w:r>
    </w:p>
    <w:p>
      <w:pPr>
        <w:spacing w:after="0" w:line="75" w:lineRule="exact"/>
        <w:rPr>
          <w:rFonts w:ascii="Arial" w:cs="Arial" w:eastAsia="Arial" w:hAnsi="Arial"/>
          <w:sz w:val="18"/>
          <w:szCs w:val="18"/>
          <w:color w:val="auto"/>
        </w:rPr>
      </w:pPr>
    </w:p>
    <w:p>
      <w:pPr>
        <w:ind w:left="960" w:right="120" w:hanging="424"/>
        <w:spacing w:after="0" w:line="277" w:lineRule="auto"/>
        <w:tabs>
          <w:tab w:leader="none" w:pos="960" w:val="left"/>
        </w:tabs>
        <w:numPr>
          <w:ilvl w:val="0"/>
          <w:numId w:val="1"/>
        </w:numPr>
        <w:rPr>
          <w:rFonts w:ascii="Arial" w:cs="Arial" w:eastAsia="Arial" w:hAnsi="Arial"/>
          <w:sz w:val="18"/>
          <w:szCs w:val="18"/>
          <w:color w:val="auto"/>
        </w:rPr>
      </w:pPr>
      <w:r>
        <w:rPr>
          <w:rFonts w:ascii="Arial" w:cs="Arial" w:eastAsia="Arial" w:hAnsi="Arial"/>
          <w:sz w:val="18"/>
          <w:szCs w:val="18"/>
          <w:color w:val="auto"/>
        </w:rPr>
        <w:t>After-market services facilitation revenues were RMB51.9 million (US$8.0 million), compared to RMB52.5 million in the same period of 2020.</w:t>
      </w:r>
    </w:p>
    <w:p>
      <w:pPr>
        <w:spacing w:after="0" w:line="75" w:lineRule="exact"/>
        <w:rPr>
          <w:rFonts w:ascii="Arial" w:cs="Arial" w:eastAsia="Arial" w:hAnsi="Arial"/>
          <w:sz w:val="18"/>
          <w:szCs w:val="18"/>
          <w:color w:val="auto"/>
        </w:rPr>
      </w:pPr>
    </w:p>
    <w:p>
      <w:pPr>
        <w:ind w:left="960" w:hanging="424"/>
        <w:spacing w:after="0"/>
        <w:tabs>
          <w:tab w:leader="none" w:pos="960" w:val="left"/>
        </w:tabs>
        <w:numPr>
          <w:ilvl w:val="0"/>
          <w:numId w:val="1"/>
        </w:numPr>
        <w:rPr>
          <w:rFonts w:ascii="Arial" w:cs="Arial" w:eastAsia="Arial" w:hAnsi="Arial"/>
          <w:sz w:val="18"/>
          <w:szCs w:val="18"/>
          <w:color w:val="auto"/>
        </w:rPr>
      </w:pPr>
      <w:r>
        <w:rPr>
          <w:rFonts w:ascii="Arial" w:cs="Arial" w:eastAsia="Arial" w:hAnsi="Arial"/>
          <w:sz w:val="18"/>
          <w:szCs w:val="18"/>
          <w:color w:val="auto"/>
        </w:rPr>
        <w:t>The amount of financing transactions the Company facilitated in the second quarter of 2021 was RMB7,789.7 million</w:t>
      </w:r>
    </w:p>
    <w:p>
      <w:pPr>
        <w:spacing w:after="0" w:line="23" w:lineRule="exact"/>
        <w:rPr>
          <w:rFonts w:ascii="Arial" w:cs="Arial" w:eastAsia="Arial" w:hAnsi="Arial"/>
          <w:sz w:val="18"/>
          <w:szCs w:val="18"/>
          <w:color w:val="auto"/>
        </w:rPr>
      </w:pPr>
    </w:p>
    <w:p>
      <w:pPr>
        <w:ind w:left="960"/>
        <w:spacing w:after="0"/>
        <w:rPr>
          <w:rFonts w:ascii="Arial" w:cs="Arial" w:eastAsia="Arial" w:hAnsi="Arial"/>
          <w:sz w:val="18"/>
          <w:szCs w:val="18"/>
          <w:color w:val="auto"/>
        </w:rPr>
      </w:pPr>
      <w:r>
        <w:rPr>
          <w:rFonts w:ascii="Arial" w:cs="Arial" w:eastAsia="Arial" w:hAnsi="Arial"/>
          <w:sz w:val="17"/>
          <w:szCs w:val="17"/>
          <w:color w:val="auto"/>
        </w:rPr>
        <w:t>(US$1,206.5 million). The total outstanding balance of financing transactions the Company facilitated was RMB48,637.8 million</w:t>
      </w:r>
    </w:p>
    <w:p>
      <w:pPr>
        <w:spacing w:after="0" w:line="20" w:lineRule="exact"/>
        <w:rPr>
          <w:rFonts w:ascii="Arial" w:cs="Arial" w:eastAsia="Arial" w:hAnsi="Arial"/>
          <w:sz w:val="18"/>
          <w:szCs w:val="18"/>
          <w:color w:val="auto"/>
        </w:rPr>
      </w:pPr>
    </w:p>
    <w:p>
      <w:pPr>
        <w:ind w:left="960"/>
        <w:spacing w:after="0"/>
        <w:rPr>
          <w:rFonts w:ascii="Arial" w:cs="Arial" w:eastAsia="Arial" w:hAnsi="Arial"/>
          <w:sz w:val="18"/>
          <w:szCs w:val="18"/>
          <w:color w:val="auto"/>
        </w:rPr>
      </w:pPr>
      <w:r>
        <w:rPr>
          <w:rFonts w:ascii="Arial" w:cs="Arial" w:eastAsia="Arial" w:hAnsi="Arial"/>
          <w:sz w:val="18"/>
          <w:szCs w:val="18"/>
          <w:color w:val="auto"/>
        </w:rPr>
        <w:t>(US$7,533.0 million) as of June 30, 2021.</w:t>
      </w:r>
    </w:p>
    <w:p>
      <w:pPr>
        <w:spacing w:after="0" w:line="116" w:lineRule="exact"/>
        <w:rPr>
          <w:rFonts w:ascii="Arial" w:cs="Arial" w:eastAsia="Arial" w:hAnsi="Arial"/>
          <w:sz w:val="18"/>
          <w:szCs w:val="18"/>
          <w:color w:val="auto"/>
        </w:rPr>
      </w:pPr>
    </w:p>
    <w:p>
      <w:pPr>
        <w:ind w:left="960" w:right="300" w:hanging="424"/>
        <w:spacing w:after="0" w:line="308" w:lineRule="auto"/>
        <w:tabs>
          <w:tab w:leader="none" w:pos="960" w:val="left"/>
        </w:tabs>
        <w:numPr>
          <w:ilvl w:val="0"/>
          <w:numId w:val="1"/>
        </w:numPr>
        <w:rPr>
          <w:rFonts w:ascii="Arial" w:cs="Arial" w:eastAsia="Arial" w:hAnsi="Arial"/>
          <w:sz w:val="17"/>
          <w:szCs w:val="17"/>
          <w:color w:val="auto"/>
        </w:rPr>
      </w:pPr>
      <w:r>
        <w:rPr>
          <w:rFonts w:ascii="Arial" w:cs="Arial" w:eastAsia="Arial" w:hAnsi="Arial"/>
          <w:sz w:val="17"/>
          <w:szCs w:val="17"/>
          <w:color w:val="auto"/>
        </w:rPr>
        <w:t>M1+ and M3+ overdue ratios for all financing transactions that remained outstanding and were facilitated by the Company were 1.35% and 0.69 %, respectively, as of June 30, 2021, compared to 1.23% and 0.54%, respectively, as of March 31, 2021.</w:t>
      </w:r>
    </w:p>
    <w:p>
      <w:pPr>
        <w:spacing w:after="0" w:line="51" w:lineRule="exact"/>
        <w:rPr>
          <w:rFonts w:ascii="Arial" w:cs="Arial" w:eastAsia="Arial" w:hAnsi="Arial"/>
          <w:sz w:val="17"/>
          <w:szCs w:val="17"/>
          <w:color w:val="auto"/>
        </w:rPr>
      </w:pPr>
    </w:p>
    <w:p>
      <w:pPr>
        <w:ind w:left="960" w:hanging="424"/>
        <w:spacing w:after="0"/>
        <w:tabs>
          <w:tab w:leader="none" w:pos="960" w:val="left"/>
        </w:tabs>
        <w:numPr>
          <w:ilvl w:val="0"/>
          <w:numId w:val="1"/>
        </w:numPr>
        <w:rPr>
          <w:rFonts w:ascii="Arial" w:cs="Arial" w:eastAsia="Arial" w:hAnsi="Arial"/>
          <w:sz w:val="18"/>
          <w:szCs w:val="18"/>
          <w:color w:val="auto"/>
        </w:rPr>
      </w:pPr>
      <w:r>
        <w:rPr>
          <w:rFonts w:ascii="Arial" w:cs="Arial" w:eastAsia="Arial" w:hAnsi="Arial"/>
          <w:sz w:val="18"/>
          <w:szCs w:val="18"/>
          <w:color w:val="auto"/>
        </w:rPr>
        <w:t>The number of dealers covered by the Company was 47,740 as of June 30, 2021, compared to 47,017 as of March 31, 2021.</w:t>
      </w:r>
    </w:p>
    <w:p>
      <w:pPr>
        <w:spacing w:after="0" w:line="225" w:lineRule="exact"/>
        <w:rPr>
          <w:sz w:val="20"/>
          <w:szCs w:val="20"/>
          <w:color w:val="auto"/>
        </w:rPr>
      </w:pPr>
    </w:p>
    <w:p>
      <w:pPr>
        <w:ind w:right="140"/>
        <w:spacing w:after="0" w:line="288" w:lineRule="auto"/>
        <w:rPr>
          <w:sz w:val="20"/>
          <w:szCs w:val="20"/>
          <w:color w:val="auto"/>
        </w:rPr>
      </w:pPr>
      <w:r>
        <w:rPr>
          <w:rFonts w:ascii="Arial" w:cs="Arial" w:eastAsia="Arial" w:hAnsi="Arial"/>
          <w:sz w:val="16"/>
          <w:szCs w:val="16"/>
          <w:color w:val="auto"/>
        </w:rPr>
        <w:t>Mr. Jiayuan Lin, Chief Executive Officer of Cango, commented, “We entered the second quarter with a focus on navigating major challenges primarily associated with the global chip shortage. We are pleased with our second quarter performance, and thanks to solid progress in our car trading transactions business, we delivered a 245.5% year-over-year growth in total revenues, meeting our previous guidance range. The ongoing chip supply shortage, which has slowed down production and consumption in the entire auto industry, impacted our business to a certain extent and we expect the impact to linger in the second half of 2021. However, we remain dedicated to advancing key elements of our strategy and believe our solid business fundamentals give us considerable flexibility to navigate uncertain and stressful times. In late May, we launched our B2B service platform ‘Cango Haoche’ integrating car information with transactions, logistics, finance and insurance to directly address pain points for car dealers in the lower-tier markets. In addition, we introduced an updated service account of ‘Cango Cheshenghuo’ on WeChat also in the second quarter, offering consumers a one-stop service covering purchases, usage and maintenance of cars. With ‘Cango Haoche’ and ‘Cango Cheshenghuo,’ we have empowered B-end car dealers and served C-end car owners, further enhancing the bond between dealers, users and us.”</w:t>
      </w:r>
    </w:p>
    <w:p>
      <w:pPr>
        <w:spacing w:after="0" w:line="10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w:t>
      </w:r>
    </w:p>
    <w:p>
      <w:pPr>
        <w:sectPr>
          <w:pgSz w:w="11900" w:h="16838" w:orient="portrait"/>
          <w:cols w:equalWidth="0" w:num="1">
            <w:col w:w="11020"/>
          </w:cols>
          <w:pgMar w:left="440" w:top="121" w:right="439" w:bottom="1440" w:gutter="0" w:footer="0" w:header="0"/>
        </w:sectPr>
      </w:pPr>
    </w:p>
    <w:bookmarkStart w:id="4" w:name="page5"/>
    <w:bookmarkEnd w:id="4"/>
    <w:p>
      <w:pPr>
        <w:spacing w:after="0" w:line="263" w:lineRule="auto"/>
        <w:rPr>
          <w:sz w:val="20"/>
          <w:szCs w:val="20"/>
          <w:color w:val="auto"/>
        </w:rPr>
      </w:pPr>
      <w:r>
        <w:rPr>
          <w:rFonts w:ascii="Arial" w:cs="Arial" w:eastAsia="Arial" w:hAnsi="Arial"/>
          <w:sz w:val="18"/>
          <w:szCs w:val="18"/>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73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174865" cy="38735"/>
                    </a:xfrm>
                    <a:prstGeom prst="rect">
                      <a:avLst/>
                    </a:prstGeom>
                    <a:noFill/>
                  </pic:spPr>
                </pic:pic>
              </a:graphicData>
            </a:graphic>
          </wp:anchor>
        </w:drawing>
        <w:t>“Looking ahead, we expect the impact of the supply chain-related challenges in the auto market to remain unresolved in the near term. However, we will closely monitor the situation and adapt accordingly, while staying true to our original goals and upholding our commitment to facilitating easy and enjoyable car purchase experiences for our consumers,” Mr. Lin concluded.</w:t>
      </w:r>
    </w:p>
    <w:p>
      <w:pPr>
        <w:spacing w:after="0" w:line="184" w:lineRule="exact"/>
        <w:rPr>
          <w:sz w:val="20"/>
          <w:szCs w:val="20"/>
          <w:color w:val="auto"/>
        </w:rPr>
      </w:pPr>
    </w:p>
    <w:p>
      <w:pPr>
        <w:ind w:right="100"/>
        <w:spacing w:after="0" w:line="257" w:lineRule="auto"/>
        <w:rPr>
          <w:sz w:val="20"/>
          <w:szCs w:val="20"/>
          <w:color w:val="auto"/>
        </w:rPr>
      </w:pPr>
      <w:r>
        <w:rPr>
          <w:rFonts w:ascii="Arial" w:cs="Arial" w:eastAsia="Arial" w:hAnsi="Arial"/>
          <w:sz w:val="18"/>
          <w:szCs w:val="18"/>
          <w:color w:val="auto"/>
        </w:rPr>
        <w:t>Mr. Yongyi Zhang, Chief Financial Officer of Cango, stated, “Our second quarter financial performance was in line with our expectations. Total revenues came in at RMB946.7 million, more than tripling from a year ago. We also recorded a net income of RMB557.7 million in the second quarter. While uncertainty stemming from global chip supply chain disruptions are ongoing, we remain committed to improving our operating efficiency while continually investing in the business to deliver more value to our dealers, partners and users. We fully believe that this will enable us to continue creating value for our shareholders well into the future.”</w:t>
      </w:r>
    </w:p>
    <w:p>
      <w:pPr>
        <w:spacing w:after="0" w:line="29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Second Quarter 2021 Financial Results</w:t>
      </w:r>
    </w:p>
    <w:p>
      <w:pPr>
        <w:spacing w:after="0" w:line="121" w:lineRule="exact"/>
        <w:rPr>
          <w:sz w:val="20"/>
          <w:szCs w:val="20"/>
          <w:color w:val="auto"/>
        </w:rPr>
      </w:pPr>
    </w:p>
    <w:p>
      <w:pPr>
        <w:spacing w:after="0"/>
        <w:rPr>
          <w:sz w:val="20"/>
          <w:szCs w:val="20"/>
          <w:color w:val="auto"/>
        </w:rPr>
      </w:pPr>
      <w:r>
        <w:rPr>
          <w:rFonts w:ascii="Arial" w:cs="Arial" w:eastAsia="Arial" w:hAnsi="Arial"/>
          <w:sz w:val="18"/>
          <w:szCs w:val="18"/>
          <w:color w:val="auto"/>
        </w:rPr>
        <w:t>REVENUES</w:t>
      </w:r>
    </w:p>
    <w:p>
      <w:pPr>
        <w:spacing w:after="0" w:line="117" w:lineRule="exact"/>
        <w:rPr>
          <w:sz w:val="20"/>
          <w:szCs w:val="20"/>
          <w:color w:val="auto"/>
        </w:rPr>
      </w:pPr>
    </w:p>
    <w:p>
      <w:pPr>
        <w:ind w:right="20"/>
        <w:spacing w:after="0" w:line="259" w:lineRule="auto"/>
        <w:rPr>
          <w:sz w:val="20"/>
          <w:szCs w:val="20"/>
          <w:color w:val="auto"/>
        </w:rPr>
      </w:pPr>
      <w:r>
        <w:rPr>
          <w:rFonts w:ascii="Arial" w:cs="Arial" w:eastAsia="Arial" w:hAnsi="Arial"/>
          <w:sz w:val="18"/>
          <w:szCs w:val="18"/>
          <w:color w:val="auto"/>
        </w:rPr>
        <w:t>Total revenues in the second quarter of 2021 increased by 245.5% to RMB946.7 million (US$146.6 million) from RMB274.1 million in the same period of 2020. Revenues from car trading transactions in the second quarter of 2021 were RMB522.5 million (US$80.9 million), continuing to serve as an important revenue contributor. Revenues from automotive financing facilitation and after-market services facilitation in the second quarter of 2021 were RMB303.3 million (US$47.0 million) and RMB51.9 million (US$8.0 million), respectively.</w:t>
      </w:r>
    </w:p>
    <w:p>
      <w:pPr>
        <w:spacing w:after="0" w:line="295" w:lineRule="exact"/>
        <w:rPr>
          <w:sz w:val="20"/>
          <w:szCs w:val="20"/>
          <w:color w:val="auto"/>
        </w:rPr>
      </w:pPr>
    </w:p>
    <w:p>
      <w:pPr>
        <w:spacing w:after="0"/>
        <w:rPr>
          <w:sz w:val="20"/>
          <w:szCs w:val="20"/>
          <w:color w:val="auto"/>
        </w:rPr>
      </w:pPr>
      <w:r>
        <w:rPr>
          <w:rFonts w:ascii="Arial" w:cs="Arial" w:eastAsia="Arial" w:hAnsi="Arial"/>
          <w:sz w:val="18"/>
          <w:szCs w:val="18"/>
          <w:color w:val="auto"/>
        </w:rPr>
        <w:t>OPERATING COST AND EXPENSES</w:t>
      </w:r>
    </w:p>
    <w:p>
      <w:pPr>
        <w:spacing w:after="0" w:line="117" w:lineRule="exact"/>
        <w:rPr>
          <w:sz w:val="20"/>
          <w:szCs w:val="20"/>
          <w:color w:val="auto"/>
        </w:rPr>
      </w:pPr>
    </w:p>
    <w:p>
      <w:pPr>
        <w:ind w:right="40"/>
        <w:spacing w:after="0" w:line="279" w:lineRule="auto"/>
        <w:rPr>
          <w:sz w:val="20"/>
          <w:szCs w:val="20"/>
          <w:color w:val="auto"/>
        </w:rPr>
      </w:pPr>
      <w:r>
        <w:rPr>
          <w:rFonts w:ascii="Arial" w:cs="Arial" w:eastAsia="Arial" w:hAnsi="Arial"/>
          <w:sz w:val="17"/>
          <w:szCs w:val="17"/>
          <w:color w:val="auto"/>
        </w:rPr>
        <w:t>Total operating cost and expenses in the second quarter of 2021 were RMB933.5 million (US$144.6 million) compared to RMB207.4 million in the same period of 2020. This was mainly due to the related costs incurred by car trading transactions business. Primarily as a result of the increase in revenues from car trading transactions, sales and marketing expenses, general and administrative expenses and research and development expenses each decreased as a percentage of total revenues in the second quarter of 2021, compared to the same period of 2020.</w:t>
      </w:r>
    </w:p>
    <w:p>
      <w:pPr>
        <w:spacing w:after="0" w:line="77" w:lineRule="exact"/>
        <w:rPr>
          <w:sz w:val="20"/>
          <w:szCs w:val="20"/>
          <w:color w:val="auto"/>
        </w:rPr>
      </w:pPr>
    </w:p>
    <w:p>
      <w:pPr>
        <w:ind w:left="960" w:hanging="424"/>
        <w:spacing w:after="0" w:line="257" w:lineRule="auto"/>
        <w:tabs>
          <w:tab w:leader="none" w:pos="960" w:val="left"/>
        </w:tabs>
        <w:numPr>
          <w:ilvl w:val="0"/>
          <w:numId w:val="2"/>
        </w:numPr>
        <w:rPr>
          <w:rFonts w:ascii="Arial" w:cs="Arial" w:eastAsia="Arial" w:hAnsi="Arial"/>
          <w:sz w:val="18"/>
          <w:szCs w:val="18"/>
          <w:color w:val="auto"/>
        </w:rPr>
      </w:pPr>
      <w:r>
        <w:rPr>
          <w:rFonts w:ascii="Arial" w:cs="Arial" w:eastAsia="Arial" w:hAnsi="Arial"/>
          <w:sz w:val="18"/>
          <w:szCs w:val="18"/>
          <w:color w:val="auto"/>
        </w:rPr>
        <w:t>Cost of revenue in the second quarter of 2021 increased to RMB697.8 million (US$108.1 million) from RMB102.8 million in the same period of 2020. As a percentage of total revenues, cost of revenue in the second quarter of 2021 was 73.7% compared to 37.5% in the same period of 2020, and the change was primarily due to an increase in the amount of car trading transactions. For automotive financing facilitation and after-market services facilitation, cost of revenue as a percentage of relevant revenues was around 41.6% in the second quarter of 2021.</w:t>
      </w:r>
    </w:p>
    <w:p>
      <w:pPr>
        <w:spacing w:after="0" w:line="12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2</w:t>
      </w:r>
    </w:p>
    <w:p>
      <w:pPr>
        <w:sectPr>
          <w:pgSz w:w="11900" w:h="16838" w:orient="portrait"/>
          <w:cols w:equalWidth="0" w:num="1">
            <w:col w:w="11000"/>
          </w:cols>
          <w:pgMar w:left="440" w:top="274" w:right="459" w:bottom="1440" w:gutter="0" w:footer="0" w:header="0"/>
        </w:sectPr>
      </w:pPr>
    </w:p>
    <w:bookmarkStart w:id="5" w:name="page6"/>
    <w:bookmarkEnd w:id="5"/>
    <w:p>
      <w:pPr>
        <w:jc w:val="both"/>
        <w:ind w:left="960" w:right="20" w:hanging="424"/>
        <w:spacing w:after="0" w:line="263" w:lineRule="auto"/>
        <w:tabs>
          <w:tab w:leader="none" w:pos="960" w:val="left"/>
        </w:tabs>
        <w:numPr>
          <w:ilvl w:val="0"/>
          <w:numId w:val="3"/>
        </w:numPr>
        <w:rPr>
          <w:rFonts w:ascii="Arial" w:cs="Arial" w:eastAsia="Arial" w:hAnsi="Arial"/>
          <w:sz w:val="18"/>
          <w:szCs w:val="18"/>
          <w:color w:val="auto"/>
        </w:rPr>
      </w:pPr>
      <w:r>
        <w:rPr>
          <w:rFonts w:ascii="Arial" w:cs="Arial" w:eastAsia="Arial" w:hAnsi="Arial"/>
          <w:sz w:val="18"/>
          <w:szCs w:val="18"/>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73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174865" cy="38735"/>
                    </a:xfrm>
                    <a:prstGeom prst="rect">
                      <a:avLst/>
                    </a:prstGeom>
                    <a:noFill/>
                  </pic:spPr>
                </pic:pic>
              </a:graphicData>
            </a:graphic>
          </wp:anchor>
        </w:drawing>
        <w:t>Sales and marketing expenses in the second quarter of 2021 were RMB60.9 million (US$9.4 million) compared to RMB42.4 million in the same period of 2020. As a percentage of total revenues, sales and marketing expenses in the second quarter of 2021 was 6.4% compared to 15.5% in the same period of 2020.</w:t>
      </w:r>
    </w:p>
    <w:p>
      <w:pPr>
        <w:spacing w:after="0" w:line="89" w:lineRule="exact"/>
        <w:rPr>
          <w:rFonts w:ascii="Arial" w:cs="Arial" w:eastAsia="Arial" w:hAnsi="Arial"/>
          <w:sz w:val="18"/>
          <w:szCs w:val="18"/>
          <w:color w:val="auto"/>
        </w:rPr>
      </w:pPr>
    </w:p>
    <w:p>
      <w:pPr>
        <w:ind w:left="960" w:hanging="424"/>
        <w:spacing w:after="0"/>
        <w:tabs>
          <w:tab w:leader="none" w:pos="960" w:val="left"/>
        </w:tabs>
        <w:numPr>
          <w:ilvl w:val="0"/>
          <w:numId w:val="3"/>
        </w:numPr>
        <w:rPr>
          <w:rFonts w:ascii="Arial" w:cs="Arial" w:eastAsia="Arial" w:hAnsi="Arial"/>
          <w:sz w:val="18"/>
          <w:szCs w:val="18"/>
          <w:color w:val="auto"/>
        </w:rPr>
      </w:pPr>
      <w:r>
        <w:rPr>
          <w:rFonts w:ascii="Arial" w:cs="Arial" w:eastAsia="Arial" w:hAnsi="Arial"/>
          <w:sz w:val="18"/>
          <w:szCs w:val="18"/>
          <w:color w:val="auto"/>
        </w:rPr>
        <w:t>General and administrative expenses in the second quarter of 2021 were RMB64.7 million (US$10.0 million) compared to</w:t>
      </w:r>
    </w:p>
    <w:p>
      <w:pPr>
        <w:spacing w:after="0" w:line="23" w:lineRule="exact"/>
        <w:rPr>
          <w:rFonts w:ascii="Arial" w:cs="Arial" w:eastAsia="Arial" w:hAnsi="Arial"/>
          <w:sz w:val="18"/>
          <w:szCs w:val="18"/>
          <w:color w:val="auto"/>
        </w:rPr>
      </w:pPr>
    </w:p>
    <w:p>
      <w:pPr>
        <w:ind w:left="960" w:right="60"/>
        <w:spacing w:after="0" w:line="260" w:lineRule="auto"/>
        <w:rPr>
          <w:rFonts w:ascii="Arial" w:cs="Arial" w:eastAsia="Arial" w:hAnsi="Arial"/>
          <w:sz w:val="18"/>
          <w:szCs w:val="18"/>
          <w:color w:val="auto"/>
        </w:rPr>
      </w:pPr>
      <w:r>
        <w:rPr>
          <w:rFonts w:ascii="Arial" w:cs="Arial" w:eastAsia="Arial" w:hAnsi="Arial"/>
          <w:sz w:val="18"/>
          <w:szCs w:val="18"/>
          <w:color w:val="auto"/>
        </w:rPr>
        <w:t>RMB66.0 million in the same period of 2020. As a percentage of total revenues, general and administrative expenses in the second quarter of 2021 was 6.8% compared to 24.1% in the same period of 2020.</w:t>
      </w:r>
    </w:p>
    <w:p>
      <w:pPr>
        <w:spacing w:after="0" w:line="90" w:lineRule="exact"/>
        <w:rPr>
          <w:rFonts w:ascii="Arial" w:cs="Arial" w:eastAsia="Arial" w:hAnsi="Arial"/>
          <w:sz w:val="18"/>
          <w:szCs w:val="18"/>
          <w:color w:val="auto"/>
        </w:rPr>
      </w:pPr>
    </w:p>
    <w:p>
      <w:pPr>
        <w:ind w:left="960" w:hanging="424"/>
        <w:spacing w:after="0" w:line="263" w:lineRule="auto"/>
        <w:tabs>
          <w:tab w:leader="none" w:pos="960" w:val="left"/>
        </w:tabs>
        <w:numPr>
          <w:ilvl w:val="0"/>
          <w:numId w:val="3"/>
        </w:numPr>
        <w:rPr>
          <w:rFonts w:ascii="Arial" w:cs="Arial" w:eastAsia="Arial" w:hAnsi="Arial"/>
          <w:sz w:val="18"/>
          <w:szCs w:val="18"/>
          <w:color w:val="auto"/>
        </w:rPr>
      </w:pPr>
      <w:r>
        <w:rPr>
          <w:rFonts w:ascii="Arial" w:cs="Arial" w:eastAsia="Arial" w:hAnsi="Arial"/>
          <w:sz w:val="18"/>
          <w:szCs w:val="18"/>
          <w:color w:val="auto"/>
        </w:rPr>
        <w:t>Research and development expenses in the second quarter of 2021 were RMB15.6 million (US$2.4 million) compared to RMB12.9 million in the same period of 2020. As a percentage of total revenues, research and development expenses in the second quarter of 2021 was 1.7% compared to 4.7% in the same period of 2020.</w:t>
      </w:r>
    </w:p>
    <w:p>
      <w:pPr>
        <w:spacing w:after="0" w:line="89" w:lineRule="exact"/>
        <w:rPr>
          <w:rFonts w:ascii="Arial" w:cs="Arial" w:eastAsia="Arial" w:hAnsi="Arial"/>
          <w:sz w:val="18"/>
          <w:szCs w:val="18"/>
          <w:color w:val="auto"/>
        </w:rPr>
      </w:pPr>
    </w:p>
    <w:p>
      <w:pPr>
        <w:ind w:left="960" w:right="500" w:hanging="424"/>
        <w:spacing w:after="0" w:line="277" w:lineRule="auto"/>
        <w:tabs>
          <w:tab w:leader="none" w:pos="960" w:val="left"/>
        </w:tabs>
        <w:numPr>
          <w:ilvl w:val="0"/>
          <w:numId w:val="3"/>
        </w:numPr>
        <w:rPr>
          <w:rFonts w:ascii="Arial" w:cs="Arial" w:eastAsia="Arial" w:hAnsi="Arial"/>
          <w:sz w:val="18"/>
          <w:szCs w:val="18"/>
          <w:color w:val="auto"/>
        </w:rPr>
      </w:pPr>
      <w:r>
        <w:rPr>
          <w:rFonts w:ascii="Arial" w:cs="Arial" w:eastAsia="Arial" w:hAnsi="Arial"/>
          <w:sz w:val="18"/>
          <w:szCs w:val="18"/>
          <w:color w:val="auto"/>
        </w:rPr>
        <w:t>Net loss on risk assurance liabilities in the second quarter of 2021 was RMB35.9 million (US$5.6 million) compared to a net gain of RMB42.9 million in the same period of 2020.</w:t>
      </w:r>
    </w:p>
    <w:p>
      <w:pPr>
        <w:spacing w:after="0" w:line="278" w:lineRule="exact"/>
        <w:rPr>
          <w:sz w:val="20"/>
          <w:szCs w:val="20"/>
          <w:color w:val="auto"/>
        </w:rPr>
      </w:pPr>
    </w:p>
    <w:p>
      <w:pPr>
        <w:spacing w:after="0"/>
        <w:rPr>
          <w:sz w:val="20"/>
          <w:szCs w:val="20"/>
          <w:color w:val="auto"/>
        </w:rPr>
      </w:pPr>
      <w:r>
        <w:rPr>
          <w:rFonts w:ascii="Arial" w:cs="Arial" w:eastAsia="Arial" w:hAnsi="Arial"/>
          <w:sz w:val="18"/>
          <w:szCs w:val="18"/>
          <w:color w:val="auto"/>
        </w:rPr>
        <w:t>INCOME FROM OPERATIONS</w:t>
      </w:r>
    </w:p>
    <w:p>
      <w:pPr>
        <w:spacing w:after="0" w:line="117" w:lineRule="exact"/>
        <w:rPr>
          <w:sz w:val="20"/>
          <w:szCs w:val="20"/>
          <w:color w:val="auto"/>
        </w:rPr>
      </w:pPr>
    </w:p>
    <w:p>
      <w:pPr>
        <w:ind w:right="320"/>
        <w:spacing w:after="0" w:line="277" w:lineRule="auto"/>
        <w:rPr>
          <w:sz w:val="20"/>
          <w:szCs w:val="20"/>
          <w:color w:val="auto"/>
        </w:rPr>
      </w:pPr>
      <w:r>
        <w:rPr>
          <w:rFonts w:ascii="Arial" w:cs="Arial" w:eastAsia="Arial" w:hAnsi="Arial"/>
          <w:sz w:val="18"/>
          <w:szCs w:val="18"/>
          <w:color w:val="auto"/>
        </w:rPr>
        <w:t>Income from operations in the second quarter of 2021 was RMB13.2 million (US$2.1 million), compared to RMB66.7 million in the same period of 2020.</w:t>
      </w:r>
    </w:p>
    <w:p>
      <w:pPr>
        <w:spacing w:after="0" w:line="278" w:lineRule="exact"/>
        <w:rPr>
          <w:sz w:val="20"/>
          <w:szCs w:val="20"/>
          <w:color w:val="auto"/>
        </w:rPr>
      </w:pPr>
    </w:p>
    <w:p>
      <w:pPr>
        <w:spacing w:after="0"/>
        <w:rPr>
          <w:sz w:val="20"/>
          <w:szCs w:val="20"/>
          <w:color w:val="auto"/>
        </w:rPr>
      </w:pPr>
      <w:r>
        <w:rPr>
          <w:rFonts w:ascii="Arial" w:cs="Arial" w:eastAsia="Arial" w:hAnsi="Arial"/>
          <w:sz w:val="18"/>
          <w:szCs w:val="18"/>
          <w:color w:val="auto"/>
        </w:rPr>
        <w:t>FAIR VALUE CHANGE OF EQUITY INVESTMENT</w:t>
      </w:r>
    </w:p>
    <w:p>
      <w:pPr>
        <w:spacing w:after="0" w:line="117" w:lineRule="exact"/>
        <w:rPr>
          <w:sz w:val="20"/>
          <w:szCs w:val="20"/>
          <w:color w:val="auto"/>
        </w:rPr>
      </w:pPr>
    </w:p>
    <w:p>
      <w:pPr>
        <w:ind w:right="20"/>
        <w:spacing w:after="0" w:line="286" w:lineRule="auto"/>
        <w:rPr>
          <w:sz w:val="20"/>
          <w:szCs w:val="20"/>
          <w:color w:val="auto"/>
        </w:rPr>
      </w:pPr>
      <w:r>
        <w:rPr>
          <w:rFonts w:ascii="Arial" w:cs="Arial" w:eastAsia="Arial" w:hAnsi="Arial"/>
          <w:sz w:val="17"/>
          <w:szCs w:val="17"/>
          <w:color w:val="auto"/>
        </w:rPr>
        <w:t>Fair value change of equity investment in the second quarter of 2021 was a gain of RMB603.4 million (US$93.5 million) compared to nil in the same period of 2020. The gain in the second quarter of 2021 is mainly due to the investment in Li Auto. As of June 30, 2021, Cango held 8,000,000 American Depositary Shares of Li Auto. Each American Depositary Share of Li Auto represents two Class A ordinary shares of Li Auto.</w:t>
      </w:r>
    </w:p>
    <w:p>
      <w:pPr>
        <w:spacing w:after="0" w:line="273" w:lineRule="exact"/>
        <w:rPr>
          <w:sz w:val="20"/>
          <w:szCs w:val="20"/>
          <w:color w:val="auto"/>
        </w:rPr>
      </w:pPr>
    </w:p>
    <w:p>
      <w:pPr>
        <w:spacing w:after="0"/>
        <w:rPr>
          <w:sz w:val="20"/>
          <w:szCs w:val="20"/>
          <w:color w:val="auto"/>
        </w:rPr>
      </w:pPr>
      <w:r>
        <w:rPr>
          <w:rFonts w:ascii="Arial" w:cs="Arial" w:eastAsia="Arial" w:hAnsi="Arial"/>
          <w:sz w:val="18"/>
          <w:szCs w:val="18"/>
          <w:color w:val="auto"/>
        </w:rPr>
        <w:t>NET INCOME</w:t>
      </w:r>
    </w:p>
    <w:p>
      <w:pPr>
        <w:spacing w:after="0" w:line="117" w:lineRule="exact"/>
        <w:rPr>
          <w:sz w:val="20"/>
          <w:szCs w:val="20"/>
          <w:color w:val="auto"/>
        </w:rPr>
      </w:pPr>
    </w:p>
    <w:p>
      <w:pPr>
        <w:spacing w:after="0"/>
        <w:rPr>
          <w:sz w:val="20"/>
          <w:szCs w:val="20"/>
          <w:color w:val="auto"/>
        </w:rPr>
      </w:pPr>
      <w:r>
        <w:rPr>
          <w:rFonts w:ascii="Arial" w:cs="Arial" w:eastAsia="Arial" w:hAnsi="Arial"/>
          <w:sz w:val="17"/>
          <w:szCs w:val="17"/>
          <w:color w:val="auto"/>
        </w:rPr>
        <w:t>Primarily due to the fair value change of the Company’s investment in Li Auto, net income in the second quarter of 2021 was RMB557.7 million</w:t>
      </w:r>
    </w:p>
    <w:p>
      <w:pPr>
        <w:spacing w:after="0" w:line="35" w:lineRule="exact"/>
        <w:rPr>
          <w:sz w:val="20"/>
          <w:szCs w:val="20"/>
          <w:color w:val="auto"/>
        </w:rPr>
      </w:pPr>
    </w:p>
    <w:p>
      <w:pPr>
        <w:ind w:right="140"/>
        <w:spacing w:after="0" w:line="290" w:lineRule="auto"/>
        <w:rPr>
          <w:sz w:val="20"/>
          <w:szCs w:val="20"/>
          <w:color w:val="auto"/>
        </w:rPr>
      </w:pPr>
      <w:r>
        <w:rPr>
          <w:rFonts w:ascii="Arial" w:cs="Arial" w:eastAsia="Arial" w:hAnsi="Arial"/>
          <w:sz w:val="17"/>
          <w:szCs w:val="17"/>
          <w:color w:val="auto"/>
        </w:rPr>
        <w:t>(US$86.4 million). Non-GAAP adjusted net income in the second quarter of 2021 was RMB578.3 million (US$89.6 million). Non-GAAP adjusted net income excludes the impact of share-based compensation expenses. For further information, see “Use of Non-GAAP Financial Measure.”</w:t>
      </w:r>
    </w:p>
    <w:p>
      <w:pPr>
        <w:spacing w:after="0" w:line="269" w:lineRule="exact"/>
        <w:rPr>
          <w:sz w:val="20"/>
          <w:szCs w:val="20"/>
          <w:color w:val="auto"/>
        </w:rPr>
      </w:pPr>
    </w:p>
    <w:p>
      <w:pPr>
        <w:spacing w:after="0"/>
        <w:rPr>
          <w:sz w:val="20"/>
          <w:szCs w:val="20"/>
          <w:color w:val="auto"/>
        </w:rPr>
      </w:pPr>
      <w:r>
        <w:rPr>
          <w:rFonts w:ascii="Arial" w:cs="Arial" w:eastAsia="Arial" w:hAnsi="Arial"/>
          <w:sz w:val="18"/>
          <w:szCs w:val="18"/>
          <w:color w:val="auto"/>
        </w:rPr>
        <w:t>NET INCOME PER ADS</w:t>
      </w:r>
    </w:p>
    <w:p>
      <w:pPr>
        <w:spacing w:after="0" w:line="117" w:lineRule="exact"/>
        <w:rPr>
          <w:sz w:val="20"/>
          <w:szCs w:val="20"/>
          <w:color w:val="auto"/>
        </w:rPr>
      </w:pPr>
    </w:p>
    <w:p>
      <w:pPr>
        <w:ind w:right="60"/>
        <w:spacing w:after="0" w:line="263" w:lineRule="auto"/>
        <w:rPr>
          <w:sz w:val="20"/>
          <w:szCs w:val="20"/>
          <w:color w:val="auto"/>
        </w:rPr>
      </w:pPr>
      <w:r>
        <w:rPr>
          <w:rFonts w:ascii="Arial" w:cs="Arial" w:eastAsia="Arial" w:hAnsi="Arial"/>
          <w:sz w:val="18"/>
          <w:szCs w:val="18"/>
          <w:color w:val="auto"/>
        </w:rPr>
        <w:t>Basic and diluted net income per American Depositary Share (ADS) in the second quarter of 2021 were RMB3.85 (US$0.60) and RMB3.75 (US$0.58). Non-GAAP adjusted basic and diluted net income per ADS in the second quarter of 2021 were RMB3.99 (US$0.62) and RMB3.89 (US$0.60). Each ADS represents two Class A ordinary shares of the Company.</w:t>
      </w:r>
    </w:p>
    <w:p>
      <w:pPr>
        <w:spacing w:after="0" w:line="116"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3</w:t>
      </w:r>
    </w:p>
    <w:p>
      <w:pPr>
        <w:sectPr>
          <w:pgSz w:w="11900" w:h="16838" w:orient="portrait"/>
          <w:cols w:equalWidth="0" w:num="1">
            <w:col w:w="11000"/>
          </w:cols>
          <w:pgMar w:left="440" w:top="274" w:right="459" w:bottom="1440" w:gutter="0" w:footer="0" w:header="0"/>
        </w:sectPr>
      </w:pPr>
    </w:p>
    <w:bookmarkStart w:id="6" w:name="page7"/>
    <w:bookmarkEnd w:id="6"/>
    <w:p>
      <w:pPr>
        <w:spacing w:after="0"/>
        <w:rPr>
          <w:sz w:val="20"/>
          <w:szCs w:val="20"/>
          <w:color w:val="auto"/>
        </w:rPr>
      </w:pPr>
      <w:r>
        <w:rPr>
          <w:rFonts w:ascii="Arial" w:cs="Arial" w:eastAsia="Arial" w:hAnsi="Arial"/>
          <w:sz w:val="18"/>
          <w:szCs w:val="18"/>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10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174865" cy="38100"/>
                    </a:xfrm>
                    <a:prstGeom prst="rect">
                      <a:avLst/>
                    </a:prstGeom>
                    <a:noFill/>
                  </pic:spPr>
                </pic:pic>
              </a:graphicData>
            </a:graphic>
          </wp:anchor>
        </w:drawing>
        <w:t>BALANCE SHEET</w:t>
      </w:r>
    </w:p>
    <w:p>
      <w:pPr>
        <w:spacing w:after="0" w:line="117" w:lineRule="exact"/>
        <w:rPr>
          <w:sz w:val="20"/>
          <w:szCs w:val="20"/>
          <w:color w:val="auto"/>
        </w:rPr>
      </w:pPr>
    </w:p>
    <w:p>
      <w:pPr>
        <w:ind w:right="180"/>
        <w:spacing w:after="0" w:line="277" w:lineRule="auto"/>
        <w:rPr>
          <w:sz w:val="20"/>
          <w:szCs w:val="20"/>
          <w:color w:val="auto"/>
        </w:rPr>
      </w:pPr>
      <w:r>
        <w:rPr>
          <w:rFonts w:ascii="Arial" w:cs="Arial" w:eastAsia="Arial" w:hAnsi="Arial"/>
          <w:sz w:val="18"/>
          <w:szCs w:val="18"/>
          <w:color w:val="auto"/>
        </w:rPr>
        <w:t>As of June 30, 2021, the Company had cash and cash equivalents of RMB1,498.9 million (US$232.2 million), compared to RMB1,631.0 million as of March 31, 2021.</w:t>
      </w:r>
    </w:p>
    <w:p>
      <w:pPr>
        <w:spacing w:after="0" w:line="170" w:lineRule="exact"/>
        <w:rPr>
          <w:sz w:val="20"/>
          <w:szCs w:val="20"/>
          <w:color w:val="auto"/>
        </w:rPr>
      </w:pPr>
    </w:p>
    <w:p>
      <w:pPr>
        <w:ind w:right="380"/>
        <w:spacing w:after="0" w:line="277" w:lineRule="auto"/>
        <w:rPr>
          <w:sz w:val="20"/>
          <w:szCs w:val="20"/>
          <w:color w:val="auto"/>
        </w:rPr>
      </w:pPr>
      <w:r>
        <w:rPr>
          <w:rFonts w:ascii="Arial" w:cs="Arial" w:eastAsia="Arial" w:hAnsi="Arial"/>
          <w:sz w:val="18"/>
          <w:szCs w:val="18"/>
          <w:color w:val="auto"/>
        </w:rPr>
        <w:t>As of June 30, 2021, the Company had short-term investments of RMB3,127.2 million (US$484.3 million), compared to RMB2,627.6 million as of March 31, 2021.</w:t>
      </w:r>
    </w:p>
    <w:p>
      <w:pPr>
        <w:spacing w:after="0" w:line="27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Business Outlook</w:t>
      </w:r>
    </w:p>
    <w:p>
      <w:pPr>
        <w:spacing w:after="0" w:line="121" w:lineRule="exact"/>
        <w:rPr>
          <w:sz w:val="20"/>
          <w:szCs w:val="20"/>
          <w:color w:val="auto"/>
        </w:rPr>
      </w:pPr>
    </w:p>
    <w:p>
      <w:pPr>
        <w:ind w:right="500"/>
        <w:spacing w:after="0" w:line="308" w:lineRule="auto"/>
        <w:rPr>
          <w:sz w:val="20"/>
          <w:szCs w:val="20"/>
          <w:color w:val="auto"/>
        </w:rPr>
      </w:pPr>
      <w:r>
        <w:rPr>
          <w:rFonts w:ascii="Arial" w:cs="Arial" w:eastAsia="Arial" w:hAnsi="Arial"/>
          <w:sz w:val="17"/>
          <w:szCs w:val="17"/>
          <w:color w:val="auto"/>
        </w:rPr>
        <w:t>For the third quarter of 2021, the Company expects total revenues to be between RMB700 million and RMB750 million. This forecast reflects the Company’s current and preliminary views on the market and operational conditions, which are subject to change.</w:t>
      </w:r>
    </w:p>
    <w:p>
      <w:pPr>
        <w:spacing w:after="0" w:line="146"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The Company’s investment in Li Auto and the change in fair value of investment due to the price volatility of the stock may have a significant impact on the Company’s third quarter of 2021 financial results.</w:t>
      </w:r>
    </w:p>
    <w:p>
      <w:pPr>
        <w:spacing w:after="0" w:line="27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Share Repurchase Program</w:t>
      </w:r>
    </w:p>
    <w:p>
      <w:pPr>
        <w:spacing w:after="0" w:line="121" w:lineRule="exact"/>
        <w:rPr>
          <w:sz w:val="20"/>
          <w:szCs w:val="20"/>
          <w:color w:val="auto"/>
        </w:rPr>
      </w:pPr>
    </w:p>
    <w:p>
      <w:pPr>
        <w:ind w:right="60"/>
        <w:spacing w:after="0" w:line="277" w:lineRule="auto"/>
        <w:rPr>
          <w:sz w:val="20"/>
          <w:szCs w:val="20"/>
          <w:color w:val="auto"/>
        </w:rPr>
      </w:pPr>
      <w:r>
        <w:rPr>
          <w:rFonts w:ascii="Arial" w:cs="Arial" w:eastAsia="Arial" w:hAnsi="Arial"/>
          <w:sz w:val="18"/>
          <w:szCs w:val="18"/>
          <w:color w:val="auto"/>
        </w:rPr>
        <w:t>Pursuant to the share repurchase program announced on March 2, 2021, we had repurchased 5,397,207 American depositary shares (“ADSs”) with cash in the aggregate amount of approximately US$48.4 million up to July 31, 2021.</w:t>
      </w:r>
    </w:p>
    <w:p>
      <w:pPr>
        <w:spacing w:after="0" w:line="27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Conference Call Information</w:t>
      </w:r>
    </w:p>
    <w:p>
      <w:pPr>
        <w:spacing w:after="0" w:line="121" w:lineRule="exact"/>
        <w:rPr>
          <w:sz w:val="20"/>
          <w:szCs w:val="20"/>
          <w:color w:val="auto"/>
        </w:rPr>
      </w:pPr>
    </w:p>
    <w:p>
      <w:pPr>
        <w:ind w:right="560"/>
        <w:spacing w:after="0" w:line="308" w:lineRule="auto"/>
        <w:rPr>
          <w:sz w:val="20"/>
          <w:szCs w:val="20"/>
          <w:color w:val="auto"/>
        </w:rPr>
      </w:pPr>
      <w:r>
        <w:rPr>
          <w:rFonts w:ascii="Arial" w:cs="Arial" w:eastAsia="Arial" w:hAnsi="Arial"/>
          <w:sz w:val="17"/>
          <w:szCs w:val="17"/>
          <w:color w:val="auto"/>
        </w:rPr>
        <w:t>The Company’s management will hold a conference call on Thursday, August 19, 2021, at 9:00 P.M. Eastern Time or Friday, August 20, 2021, at 9:00 A.M. Beijing Time to discuss the financial results. Listeners may access the call by dialing the following numbers:</w:t>
      </w:r>
    </w:p>
    <w:p>
      <w:pPr>
        <w:spacing w:after="0" w:line="173"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160" w:type="dxa"/>
            <w:vAlign w:val="bottom"/>
          </w:tcPr>
          <w:p>
            <w:pPr>
              <w:spacing w:after="0"/>
              <w:rPr>
                <w:sz w:val="20"/>
                <w:szCs w:val="20"/>
                <w:color w:val="auto"/>
              </w:rPr>
            </w:pPr>
            <w:r>
              <w:rPr>
                <w:rFonts w:ascii="Arial" w:cs="Arial" w:eastAsia="Arial" w:hAnsi="Arial"/>
                <w:sz w:val="18"/>
                <w:szCs w:val="18"/>
                <w:color w:val="auto"/>
              </w:rPr>
              <w:t>International:</w:t>
            </w:r>
          </w:p>
        </w:tc>
        <w:tc>
          <w:tcPr>
            <w:tcW w:w="2300" w:type="dxa"/>
            <w:vAlign w:val="bottom"/>
          </w:tcPr>
          <w:p>
            <w:pPr>
              <w:ind w:left="1040"/>
              <w:spacing w:after="0"/>
              <w:rPr>
                <w:sz w:val="20"/>
                <w:szCs w:val="20"/>
                <w:color w:val="auto"/>
              </w:rPr>
            </w:pPr>
            <w:r>
              <w:rPr>
                <w:rFonts w:ascii="Arial" w:cs="Arial" w:eastAsia="Arial" w:hAnsi="Arial"/>
                <w:sz w:val="18"/>
                <w:szCs w:val="18"/>
                <w:color w:val="auto"/>
                <w:w w:val="89"/>
              </w:rPr>
              <w:t>+1-412-902-4272</w:t>
            </w:r>
          </w:p>
        </w:tc>
      </w:tr>
      <w:tr>
        <w:trPr>
          <w:trHeight w:val="216"/>
        </w:trPr>
        <w:tc>
          <w:tcPr>
            <w:tcW w:w="3160" w:type="dxa"/>
            <w:vAlign w:val="bottom"/>
          </w:tcPr>
          <w:p>
            <w:pPr>
              <w:spacing w:after="0"/>
              <w:rPr>
                <w:sz w:val="20"/>
                <w:szCs w:val="20"/>
                <w:color w:val="auto"/>
              </w:rPr>
            </w:pPr>
            <w:r>
              <w:rPr>
                <w:rFonts w:ascii="Arial" w:cs="Arial" w:eastAsia="Arial" w:hAnsi="Arial"/>
                <w:sz w:val="18"/>
                <w:szCs w:val="18"/>
                <w:color w:val="auto"/>
              </w:rPr>
              <w:t>United States Toll Free:</w:t>
            </w:r>
          </w:p>
        </w:tc>
        <w:tc>
          <w:tcPr>
            <w:tcW w:w="2300" w:type="dxa"/>
            <w:vAlign w:val="bottom"/>
          </w:tcPr>
          <w:p>
            <w:pPr>
              <w:ind w:left="1040"/>
              <w:spacing w:after="0"/>
              <w:rPr>
                <w:sz w:val="20"/>
                <w:szCs w:val="20"/>
                <w:color w:val="auto"/>
              </w:rPr>
            </w:pPr>
            <w:r>
              <w:rPr>
                <w:rFonts w:ascii="Arial" w:cs="Arial" w:eastAsia="Arial" w:hAnsi="Arial"/>
                <w:sz w:val="18"/>
                <w:szCs w:val="18"/>
                <w:color w:val="auto"/>
                <w:w w:val="89"/>
              </w:rPr>
              <w:t>+1-888-346-8982</w:t>
            </w:r>
          </w:p>
        </w:tc>
      </w:tr>
      <w:tr>
        <w:trPr>
          <w:trHeight w:val="216"/>
        </w:trPr>
        <w:tc>
          <w:tcPr>
            <w:tcW w:w="3160" w:type="dxa"/>
            <w:vAlign w:val="bottom"/>
          </w:tcPr>
          <w:p>
            <w:pPr>
              <w:spacing w:after="0"/>
              <w:rPr>
                <w:sz w:val="20"/>
                <w:szCs w:val="20"/>
                <w:color w:val="auto"/>
              </w:rPr>
            </w:pPr>
            <w:r>
              <w:rPr>
                <w:rFonts w:ascii="Arial" w:cs="Arial" w:eastAsia="Arial" w:hAnsi="Arial"/>
                <w:sz w:val="18"/>
                <w:szCs w:val="18"/>
                <w:color w:val="auto"/>
              </w:rPr>
              <w:t>Mainland China Toll Free:</w:t>
            </w:r>
          </w:p>
        </w:tc>
        <w:tc>
          <w:tcPr>
            <w:tcW w:w="2300" w:type="dxa"/>
            <w:vAlign w:val="bottom"/>
          </w:tcPr>
          <w:p>
            <w:pPr>
              <w:ind w:left="1040"/>
              <w:spacing w:after="0"/>
              <w:rPr>
                <w:sz w:val="20"/>
                <w:szCs w:val="20"/>
                <w:color w:val="auto"/>
              </w:rPr>
            </w:pPr>
            <w:r>
              <w:rPr>
                <w:rFonts w:ascii="Arial" w:cs="Arial" w:eastAsia="Arial" w:hAnsi="Arial"/>
                <w:sz w:val="18"/>
                <w:szCs w:val="18"/>
                <w:color w:val="auto"/>
              </w:rPr>
              <w:t>4001-201-203</w:t>
            </w:r>
          </w:p>
        </w:tc>
      </w:tr>
      <w:tr>
        <w:trPr>
          <w:trHeight w:val="216"/>
        </w:trPr>
        <w:tc>
          <w:tcPr>
            <w:tcW w:w="3160" w:type="dxa"/>
            <w:vAlign w:val="bottom"/>
          </w:tcPr>
          <w:p>
            <w:pPr>
              <w:spacing w:after="0"/>
              <w:rPr>
                <w:sz w:val="20"/>
                <w:szCs w:val="20"/>
                <w:color w:val="auto"/>
              </w:rPr>
            </w:pPr>
            <w:r>
              <w:rPr>
                <w:rFonts w:ascii="Arial" w:cs="Arial" w:eastAsia="Arial" w:hAnsi="Arial"/>
                <w:sz w:val="18"/>
                <w:szCs w:val="18"/>
                <w:color w:val="auto"/>
              </w:rPr>
              <w:t>Hong Kong, China Toll Free:</w:t>
            </w:r>
          </w:p>
        </w:tc>
        <w:tc>
          <w:tcPr>
            <w:tcW w:w="2300" w:type="dxa"/>
            <w:vAlign w:val="bottom"/>
          </w:tcPr>
          <w:p>
            <w:pPr>
              <w:ind w:left="1040"/>
              <w:spacing w:after="0"/>
              <w:rPr>
                <w:sz w:val="20"/>
                <w:szCs w:val="20"/>
                <w:color w:val="auto"/>
              </w:rPr>
            </w:pPr>
            <w:r>
              <w:rPr>
                <w:rFonts w:ascii="Arial" w:cs="Arial" w:eastAsia="Arial" w:hAnsi="Arial"/>
                <w:sz w:val="18"/>
                <w:szCs w:val="18"/>
                <w:color w:val="auto"/>
              </w:rPr>
              <w:t>800-905-945</w:t>
            </w:r>
          </w:p>
        </w:tc>
      </w:tr>
      <w:tr>
        <w:trPr>
          <w:trHeight w:val="230"/>
        </w:trPr>
        <w:tc>
          <w:tcPr>
            <w:tcW w:w="3160" w:type="dxa"/>
            <w:vAlign w:val="bottom"/>
          </w:tcPr>
          <w:p>
            <w:pPr>
              <w:spacing w:after="0"/>
              <w:rPr>
                <w:sz w:val="20"/>
                <w:szCs w:val="20"/>
                <w:color w:val="auto"/>
              </w:rPr>
            </w:pPr>
            <w:r>
              <w:rPr>
                <w:rFonts w:ascii="Arial" w:cs="Arial" w:eastAsia="Arial" w:hAnsi="Arial"/>
                <w:sz w:val="18"/>
                <w:szCs w:val="18"/>
                <w:color w:val="auto"/>
              </w:rPr>
              <w:t>Conference ID:</w:t>
            </w:r>
          </w:p>
        </w:tc>
        <w:tc>
          <w:tcPr>
            <w:tcW w:w="2300" w:type="dxa"/>
            <w:vAlign w:val="bottom"/>
          </w:tcPr>
          <w:p>
            <w:pPr>
              <w:ind w:left="1040"/>
              <w:spacing w:after="0"/>
              <w:rPr>
                <w:sz w:val="20"/>
                <w:szCs w:val="20"/>
                <w:color w:val="auto"/>
              </w:rPr>
            </w:pPr>
            <w:r>
              <w:rPr>
                <w:rFonts w:ascii="Arial" w:cs="Arial" w:eastAsia="Arial" w:hAnsi="Arial"/>
                <w:sz w:val="18"/>
                <w:szCs w:val="18"/>
                <w:color w:val="auto"/>
              </w:rPr>
              <w:t>Cango Inc.</w:t>
            </w: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The replay will be accessible through August 26, 2021, by dialing the following numbers:</w:t>
      </w:r>
    </w:p>
    <w:p>
      <w:pPr>
        <w:spacing w:after="0" w:line="252"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2960" w:type="dxa"/>
            <w:vAlign w:val="bottom"/>
          </w:tcPr>
          <w:p>
            <w:pPr>
              <w:spacing w:after="0"/>
              <w:rPr>
                <w:sz w:val="20"/>
                <w:szCs w:val="20"/>
                <w:color w:val="auto"/>
              </w:rPr>
            </w:pPr>
            <w:r>
              <w:rPr>
                <w:rFonts w:ascii="Arial" w:cs="Arial" w:eastAsia="Arial" w:hAnsi="Arial"/>
                <w:sz w:val="18"/>
                <w:szCs w:val="18"/>
                <w:color w:val="auto"/>
              </w:rPr>
              <w:t>International:</w:t>
            </w:r>
          </w:p>
        </w:tc>
        <w:tc>
          <w:tcPr>
            <w:tcW w:w="2500" w:type="dxa"/>
            <w:vAlign w:val="bottom"/>
          </w:tcPr>
          <w:p>
            <w:pPr>
              <w:ind w:left="1240"/>
              <w:spacing w:after="0"/>
              <w:rPr>
                <w:sz w:val="20"/>
                <w:szCs w:val="20"/>
                <w:color w:val="auto"/>
              </w:rPr>
            </w:pPr>
            <w:r>
              <w:rPr>
                <w:rFonts w:ascii="Arial" w:cs="Arial" w:eastAsia="Arial" w:hAnsi="Arial"/>
                <w:sz w:val="18"/>
                <w:szCs w:val="18"/>
                <w:color w:val="auto"/>
                <w:w w:val="89"/>
              </w:rPr>
              <w:t>+1-412-317-0088</w:t>
            </w:r>
          </w:p>
        </w:tc>
      </w:tr>
      <w:tr>
        <w:trPr>
          <w:trHeight w:val="216"/>
        </w:trPr>
        <w:tc>
          <w:tcPr>
            <w:tcW w:w="2960" w:type="dxa"/>
            <w:vAlign w:val="bottom"/>
          </w:tcPr>
          <w:p>
            <w:pPr>
              <w:spacing w:after="0"/>
              <w:rPr>
                <w:sz w:val="20"/>
                <w:szCs w:val="20"/>
                <w:color w:val="auto"/>
              </w:rPr>
            </w:pPr>
            <w:r>
              <w:rPr>
                <w:rFonts w:ascii="Arial" w:cs="Arial" w:eastAsia="Arial" w:hAnsi="Arial"/>
                <w:sz w:val="18"/>
                <w:szCs w:val="18"/>
                <w:color w:val="auto"/>
              </w:rPr>
              <w:t>United States Toll Free:</w:t>
            </w:r>
          </w:p>
        </w:tc>
        <w:tc>
          <w:tcPr>
            <w:tcW w:w="2500" w:type="dxa"/>
            <w:vAlign w:val="bottom"/>
          </w:tcPr>
          <w:p>
            <w:pPr>
              <w:ind w:left="1240"/>
              <w:spacing w:after="0"/>
              <w:rPr>
                <w:sz w:val="20"/>
                <w:szCs w:val="20"/>
                <w:color w:val="auto"/>
              </w:rPr>
            </w:pPr>
            <w:r>
              <w:rPr>
                <w:rFonts w:ascii="Arial" w:cs="Arial" w:eastAsia="Arial" w:hAnsi="Arial"/>
                <w:sz w:val="18"/>
                <w:szCs w:val="18"/>
                <w:color w:val="auto"/>
                <w:w w:val="89"/>
              </w:rPr>
              <w:t>+1-877-344-7529</w:t>
            </w:r>
          </w:p>
        </w:tc>
      </w:tr>
      <w:tr>
        <w:trPr>
          <w:trHeight w:val="230"/>
        </w:trPr>
        <w:tc>
          <w:tcPr>
            <w:tcW w:w="2960" w:type="dxa"/>
            <w:vAlign w:val="bottom"/>
          </w:tcPr>
          <w:p>
            <w:pPr>
              <w:spacing w:after="0"/>
              <w:rPr>
                <w:sz w:val="20"/>
                <w:szCs w:val="20"/>
                <w:color w:val="auto"/>
              </w:rPr>
            </w:pPr>
            <w:r>
              <w:rPr>
                <w:rFonts w:ascii="Arial" w:cs="Arial" w:eastAsia="Arial" w:hAnsi="Arial"/>
                <w:sz w:val="18"/>
                <w:szCs w:val="18"/>
                <w:color w:val="auto"/>
              </w:rPr>
              <w:t>Access Code:</w:t>
            </w:r>
          </w:p>
        </w:tc>
        <w:tc>
          <w:tcPr>
            <w:tcW w:w="2500" w:type="dxa"/>
            <w:vAlign w:val="bottom"/>
          </w:tcPr>
          <w:p>
            <w:pPr>
              <w:ind w:left="1240"/>
              <w:spacing w:after="0"/>
              <w:rPr>
                <w:sz w:val="20"/>
                <w:szCs w:val="20"/>
                <w:color w:val="auto"/>
              </w:rPr>
            </w:pPr>
            <w:r>
              <w:rPr>
                <w:rFonts w:ascii="Arial" w:cs="Arial" w:eastAsia="Arial" w:hAnsi="Arial"/>
                <w:sz w:val="18"/>
                <w:szCs w:val="18"/>
                <w:color w:val="auto"/>
              </w:rPr>
              <w:t>10159690</w:t>
            </w:r>
          </w:p>
        </w:tc>
      </w:tr>
    </w:tbl>
    <w:p>
      <w:pPr>
        <w:spacing w:after="0" w:line="202" w:lineRule="exact"/>
        <w:rPr>
          <w:sz w:val="20"/>
          <w:szCs w:val="20"/>
          <w:color w:val="auto"/>
        </w:rPr>
      </w:pPr>
    </w:p>
    <w:p>
      <w:pPr>
        <w:jc w:val="center"/>
        <w:ind w:right="480"/>
        <w:spacing w:after="0" w:line="449" w:lineRule="auto"/>
        <w:rPr>
          <w:sz w:val="20"/>
          <w:szCs w:val="20"/>
          <w:color w:val="auto"/>
        </w:rPr>
      </w:pPr>
      <w:r>
        <w:rPr>
          <w:rFonts w:ascii="Arial" w:cs="Arial" w:eastAsia="Arial" w:hAnsi="Arial"/>
          <w:sz w:val="18"/>
          <w:szCs w:val="18"/>
          <w:color w:val="auto"/>
        </w:rPr>
        <w:t xml:space="preserve">A live and archived webcast of the conference call will also be available at the Company’s investor relations website at </w:t>
      </w:r>
      <w:r>
        <w:rPr>
          <w:rFonts w:ascii="Arial" w:cs="Arial" w:eastAsia="Arial" w:hAnsi="Arial"/>
          <w:sz w:val="18"/>
          <w:szCs w:val="18"/>
          <w:u w:val="single" w:color="auto"/>
          <w:color w:val="auto"/>
        </w:rPr>
        <w:t>http://ir.cangoonline.com/</w:t>
      </w:r>
      <w:r>
        <w:rPr>
          <w:rFonts w:ascii="Arial" w:cs="Arial" w:eastAsia="Arial" w:hAnsi="Arial"/>
          <w:sz w:val="18"/>
          <w:szCs w:val="18"/>
          <w:color w:val="auto"/>
        </w:rPr>
        <w:t>. 4</w:t>
      </w:r>
    </w:p>
    <w:p>
      <w:pPr>
        <w:sectPr>
          <w:pgSz w:w="11900" w:h="16838" w:orient="portrait"/>
          <w:cols w:equalWidth="0" w:num="1">
            <w:col w:w="11000"/>
          </w:cols>
          <w:pgMar w:left="440" w:top="274" w:right="459" w:bottom="1440" w:gutter="0" w:footer="0" w:header="0"/>
        </w:sectPr>
      </w:pPr>
    </w:p>
    <w:bookmarkStart w:id="7" w:name="page8"/>
    <w:bookmarkEnd w:id="7"/>
    <w:p>
      <w:pPr>
        <w:spacing w:after="0"/>
        <w:rPr>
          <w:sz w:val="20"/>
          <w:szCs w:val="20"/>
          <w:color w:val="auto"/>
        </w:rPr>
      </w:pPr>
      <w:r>
        <w:rPr>
          <w:rFonts w:ascii="Arial" w:cs="Arial" w:eastAsia="Arial" w:hAnsi="Arial"/>
          <w:sz w:val="18"/>
          <w:szCs w:val="18"/>
          <w:b w:val="1"/>
          <w:bCs w:val="1"/>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10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174865" cy="38100"/>
                    </a:xfrm>
                    <a:prstGeom prst="rect">
                      <a:avLst/>
                    </a:prstGeom>
                    <a:noFill/>
                  </pic:spPr>
                </pic:pic>
              </a:graphicData>
            </a:graphic>
          </wp:anchor>
        </w:drawing>
        <w:t>About Cango Inc.</w:t>
      </w:r>
    </w:p>
    <w:p>
      <w:pPr>
        <w:spacing w:after="0" w:line="121" w:lineRule="exact"/>
        <w:rPr>
          <w:sz w:val="20"/>
          <w:szCs w:val="20"/>
          <w:color w:val="auto"/>
        </w:rPr>
      </w:pPr>
    </w:p>
    <w:p>
      <w:pPr>
        <w:spacing w:after="0" w:line="254" w:lineRule="auto"/>
        <w:rPr>
          <w:sz w:val="20"/>
          <w:szCs w:val="20"/>
          <w:color w:val="auto"/>
        </w:rPr>
      </w:pPr>
      <w:r>
        <w:rPr>
          <w:rFonts w:ascii="Arial" w:cs="Arial" w:eastAsia="Arial" w:hAnsi="Arial"/>
          <w:sz w:val="18"/>
          <w:szCs w:val="18"/>
          <w:color w:val="auto"/>
        </w:rPr>
        <w:t xml:space="preserve">Cango Inc. (NYSE: CANG) is a leading automotive transaction service platform in China connecting dealers, financial institutions, car buyers, and other industry participants. Founded in 2010 by a group of pioneers in China’s automotive finance industry, the Company is headquartered in Shanghai and engages car buyers through a nationwide dealer network. The Company’s services primarily consist of automotive financing facilitation, car trading transactions, and after-market services facilitation. By utilizing its competitive advantages in technology, data insights, and cloud-based infrastructure, Cango is able to connect its platform participants while bringing them a premium user experience. Cango’s platform model puts it in a unique position to add value for its platform participants and business partners as the automotive and mobility markets in China continue to grow and evolve. For more information, please visit: </w:t>
      </w:r>
      <w:r>
        <w:rPr>
          <w:rFonts w:ascii="Arial" w:cs="Arial" w:eastAsia="Arial" w:hAnsi="Arial"/>
          <w:sz w:val="18"/>
          <w:szCs w:val="18"/>
          <w:u w:val="single" w:color="auto"/>
          <w:color w:val="auto"/>
        </w:rPr>
        <w:t>www.cangoonline.com</w:t>
      </w:r>
      <w:r>
        <w:rPr>
          <w:rFonts w:ascii="Arial" w:cs="Arial" w:eastAsia="Arial" w:hAnsi="Arial"/>
          <w:sz w:val="18"/>
          <w:szCs w:val="18"/>
          <w:color w:val="auto"/>
        </w:rPr>
        <w:t>.</w:t>
      </w:r>
    </w:p>
    <w:p>
      <w:pPr>
        <w:spacing w:after="0" w:line="29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Definition of Overdue Ratios</w:t>
      </w:r>
    </w:p>
    <w:p>
      <w:pPr>
        <w:spacing w:after="0" w:line="121" w:lineRule="exact"/>
        <w:rPr>
          <w:sz w:val="20"/>
          <w:szCs w:val="20"/>
          <w:color w:val="auto"/>
        </w:rPr>
      </w:pPr>
    </w:p>
    <w:p>
      <w:pPr>
        <w:ind w:right="220"/>
        <w:spacing w:after="0" w:line="263" w:lineRule="auto"/>
        <w:rPr>
          <w:sz w:val="20"/>
          <w:szCs w:val="20"/>
          <w:color w:val="auto"/>
        </w:rPr>
      </w:pPr>
      <w:r>
        <w:rPr>
          <w:rFonts w:ascii="Arial" w:cs="Arial" w:eastAsia="Arial" w:hAnsi="Arial"/>
          <w:sz w:val="18"/>
          <w:szCs w:val="18"/>
          <w:color w:val="auto"/>
        </w:rPr>
        <w:t>The Company defines “M1+ overdue ratio” as (i) exposure at risk relating to financing transactions for which any installment payment is 30 to 179 calendar days past due as of a specified date, divided by (ii) exposure at risk relating to all financing transactions which remain outstanding as of such date, excluding amounts of outstanding principal that are 180 calendar days or more past due.</w:t>
      </w:r>
    </w:p>
    <w:p>
      <w:pPr>
        <w:spacing w:after="0" w:line="184" w:lineRule="exact"/>
        <w:rPr>
          <w:sz w:val="20"/>
          <w:szCs w:val="20"/>
          <w:color w:val="auto"/>
        </w:rPr>
      </w:pPr>
    </w:p>
    <w:p>
      <w:pPr>
        <w:ind w:right="220"/>
        <w:spacing w:after="0" w:line="263" w:lineRule="auto"/>
        <w:rPr>
          <w:sz w:val="20"/>
          <w:szCs w:val="20"/>
          <w:color w:val="auto"/>
        </w:rPr>
      </w:pPr>
      <w:r>
        <w:rPr>
          <w:rFonts w:ascii="Arial" w:cs="Arial" w:eastAsia="Arial" w:hAnsi="Arial"/>
          <w:sz w:val="18"/>
          <w:szCs w:val="18"/>
          <w:color w:val="auto"/>
        </w:rPr>
        <w:t>The Company defines “M3+ overdue ratio” as (i) exposure at risk relating to financing transactions for which any installment payment is 90 to 179 calendar days past due as of a specified date, divided by (ii) exposure at risk relating to all financing transactions which remain outstanding as of such date, excluding amounts of outstanding principal that are 180 calendar days or more past due.</w:t>
      </w:r>
    </w:p>
    <w:p>
      <w:pPr>
        <w:spacing w:after="0" w:line="28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Use of Non-GAAP Financial Measure</w:t>
      </w:r>
    </w:p>
    <w:p>
      <w:pPr>
        <w:spacing w:after="0" w:line="121" w:lineRule="exact"/>
        <w:rPr>
          <w:sz w:val="20"/>
          <w:szCs w:val="20"/>
          <w:color w:val="auto"/>
        </w:rPr>
      </w:pPr>
    </w:p>
    <w:p>
      <w:pPr>
        <w:spacing w:after="0" w:line="272" w:lineRule="auto"/>
        <w:rPr>
          <w:sz w:val="20"/>
          <w:szCs w:val="20"/>
          <w:color w:val="auto"/>
        </w:rPr>
      </w:pPr>
      <w:r>
        <w:rPr>
          <w:rFonts w:ascii="Arial" w:cs="Arial" w:eastAsia="Arial" w:hAnsi="Arial"/>
          <w:sz w:val="17"/>
          <w:szCs w:val="17"/>
          <w:color w:val="auto"/>
        </w:rPr>
        <w:t>In evaluating the business, the Company considers and uses Non-GAAP adjusted net income, a non-GAAP measure, as a supplemental measure to review and assess its operating performance. The presentation of the non-GAAP financial measure is not intended to be considered in isolation or as a substitute for the financial information prepared and presented in accordance with U.S. GAAP. The Company defines Non-GAAP adjusted net income as net income excluding share-based compensation expenses. The Company presents the non-GAAP financial measure because it is used by the management to evaluate the operating performance and formulate business plans. Non-GAAP adjusted net income enables the management to assess the Company’s operating results without considering the impact of share-based compensation expenses, which are non-cash charges. The Company also believes that the use of the non-GAAP measure facilitates investors’ assessment of its operating performance.</w:t>
      </w:r>
    </w:p>
    <w:p>
      <w:pPr>
        <w:spacing w:after="0" w:line="177" w:lineRule="exact"/>
        <w:rPr>
          <w:sz w:val="20"/>
          <w:szCs w:val="20"/>
          <w:color w:val="auto"/>
        </w:rPr>
      </w:pPr>
    </w:p>
    <w:p>
      <w:pPr>
        <w:ind w:right="120"/>
        <w:spacing w:after="0" w:line="275" w:lineRule="auto"/>
        <w:rPr>
          <w:sz w:val="20"/>
          <w:szCs w:val="20"/>
          <w:color w:val="auto"/>
        </w:rPr>
      </w:pPr>
      <w:r>
        <w:rPr>
          <w:rFonts w:ascii="Arial" w:cs="Arial" w:eastAsia="Arial" w:hAnsi="Arial"/>
          <w:sz w:val="17"/>
          <w:szCs w:val="17"/>
          <w:color w:val="auto"/>
        </w:rPr>
        <w:t>Non-GAAP adjusted net income is not defined under U.S. GAAP and is not presented in accordance with U.S. GAAP. This non-GAAP financial measure has limitations as analytical tools. One of the key limitations of using Non-GAAP adjusted net income is that it does not reflect all items of expense that affect the Company’s operations. Share-based compensation expenses have been and may continue to be incurred in the business and are not reflected in the presentation of Non-GAAP adjusted net income. Further, the non-GAAP measure may differ from the non-GAAP information used by other companies, including peer companies, and therefore their comparability may be limited.</w:t>
      </w:r>
    </w:p>
    <w:p>
      <w:pPr>
        <w:spacing w:after="0" w:line="109"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5</w:t>
      </w:r>
    </w:p>
    <w:p>
      <w:pPr>
        <w:sectPr>
          <w:pgSz w:w="11900" w:h="16838" w:orient="portrait"/>
          <w:cols w:equalWidth="0" w:num="1">
            <w:col w:w="11000"/>
          </w:cols>
          <w:pgMar w:left="440" w:top="270" w:right="459" w:bottom="1440" w:gutter="0" w:footer="0" w:header="0"/>
        </w:sectPr>
      </w:pPr>
    </w:p>
    <w:bookmarkStart w:id="8" w:name="page9"/>
    <w:bookmarkEnd w:id="8"/>
    <w:p>
      <w:pPr>
        <w:spacing w:after="0" w:line="263" w:lineRule="auto"/>
        <w:rPr>
          <w:sz w:val="20"/>
          <w:szCs w:val="20"/>
          <w:color w:val="auto"/>
        </w:rPr>
      </w:pPr>
      <w:r>
        <w:rPr>
          <w:rFonts w:ascii="Arial" w:cs="Arial" w:eastAsia="Arial" w:hAnsi="Arial"/>
          <w:sz w:val="18"/>
          <w:szCs w:val="18"/>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10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174865" cy="38100"/>
                    </a:xfrm>
                    <a:prstGeom prst="rect">
                      <a:avLst/>
                    </a:prstGeom>
                    <a:noFill/>
                  </pic:spPr>
                </pic:pic>
              </a:graphicData>
            </a:graphic>
          </wp:anchor>
        </w:drawing>
        <w:t>The Company compensates for these limitations by reconciling the non-GAAP financial measure to the nearest U.S. GAAP performance measure, all of which should be considered when evaluating the Company’s performance. The Company encourages you to review its financial information in its entirety and not rely on a single financial measure.</w:t>
      </w:r>
    </w:p>
    <w:p>
      <w:pPr>
        <w:spacing w:after="0" w:line="184" w:lineRule="exact"/>
        <w:rPr>
          <w:sz w:val="20"/>
          <w:szCs w:val="20"/>
          <w:color w:val="auto"/>
        </w:rPr>
      </w:pPr>
    </w:p>
    <w:p>
      <w:pPr>
        <w:spacing w:after="0"/>
        <w:rPr>
          <w:sz w:val="20"/>
          <w:szCs w:val="20"/>
          <w:color w:val="auto"/>
        </w:rPr>
      </w:pPr>
      <w:r>
        <w:rPr>
          <w:rFonts w:ascii="Arial" w:cs="Arial" w:eastAsia="Arial" w:hAnsi="Arial"/>
          <w:sz w:val="16"/>
          <w:szCs w:val="16"/>
          <w:color w:val="auto"/>
        </w:rPr>
        <w:t>Reconciliations of Cango’s non-GAAP financial measure to the most comparable U.S. GAAP measure are included at the end of this press release.</w:t>
      </w:r>
    </w:p>
    <w:p>
      <w:pPr>
        <w:spacing w:after="0" w:line="35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Exchange Rate Information</w:t>
      </w:r>
    </w:p>
    <w:p>
      <w:pPr>
        <w:spacing w:after="0" w:line="121" w:lineRule="exact"/>
        <w:rPr>
          <w:sz w:val="20"/>
          <w:szCs w:val="20"/>
          <w:color w:val="auto"/>
        </w:rPr>
      </w:pPr>
    </w:p>
    <w:p>
      <w:pPr>
        <w:jc w:val="both"/>
        <w:ind w:right="60"/>
        <w:spacing w:after="0" w:line="279" w:lineRule="auto"/>
        <w:rPr>
          <w:sz w:val="20"/>
          <w:szCs w:val="20"/>
          <w:color w:val="auto"/>
        </w:rPr>
      </w:pPr>
      <w:r>
        <w:rPr>
          <w:rFonts w:ascii="Arial" w:cs="Arial" w:eastAsia="Arial" w:hAnsi="Arial"/>
          <w:sz w:val="17"/>
          <w:szCs w:val="17"/>
          <w:color w:val="auto"/>
        </w:rPr>
        <w:t>This announcement contains translations of certain RMB amounts into U.S. dollars (“US$”) at specified rates solely for the convenience of the reader. Unless otherwise stated, all translations from RMB to US$ were made at the rate of RMB6.4566 to US$1.00, the noon buying rate in effect on June 30, 2021, in the H.10 statistical release of the Federal Reserve Board. The Company makes no representation that the RMB or US$ amounts referred could be converted into US$ or RMB, as the case may be, at any particular rate or at all.</w:t>
      </w:r>
    </w:p>
    <w:p>
      <w:pPr>
        <w:spacing w:after="0" w:line="27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Safe Harbor Statement</w:t>
      </w:r>
    </w:p>
    <w:p>
      <w:pPr>
        <w:spacing w:after="0" w:line="121" w:lineRule="exact"/>
        <w:rPr>
          <w:sz w:val="20"/>
          <w:szCs w:val="20"/>
          <w:color w:val="auto"/>
        </w:rPr>
      </w:pPr>
    </w:p>
    <w:p>
      <w:pPr>
        <w:spacing w:after="0" w:line="268" w:lineRule="auto"/>
        <w:rPr>
          <w:sz w:val="20"/>
          <w:szCs w:val="20"/>
          <w:color w:val="auto"/>
        </w:rPr>
      </w:pPr>
      <w:r>
        <w:rPr>
          <w:rFonts w:ascii="Arial" w:cs="Arial" w:eastAsia="Arial" w:hAnsi="Arial"/>
          <w:sz w:val="17"/>
          <w:szCs w:val="17"/>
          <w:color w:val="auto"/>
        </w:rPr>
        <w:t>This announcement contains forward-looking statements. These statements are made under the “safe harbor” provisions of the United States Private Securities Litigation Reform Act of 1995. These forward-looking statements can be identified by terminology such as “will,” “expects,” “anticipates,” “future,” “intends,” “plans,” “believes,” “estimates” and similar statements. Among other things, the “Business Outlook” section and quotations from management in this announcement, contain forward-looking statements. Cango may also make written or oral forward-looking statements in its periodic reports to the SEC, in its annual report to shareholders, in press releases and other written materials and in oral statements made by its officers, directors or employees to third parties. Statements that are not historical facts, including statements about Cango’s beliefs and expectations, are forward-looking statements. Forward-looking statements involve inherent risks and uncertainties. A number of factors could cause actual results to differ materially from those contained in any forward-looking statement, including but not limited to the following: Cango’s goal and strategies; Cango’s expansion plans; Cango’s future business development, financial condition and results of operations; Cango’s expectations regarding demand for, and market acceptance of, its solutions and services; Cango’s expectations regarding keeping and strengthening its relationships with dealers, financial institutions, car buyers and other platform participants; general economic and business conditions; and assumptions underlying or related to any of the foregoing. Further information regarding these and other risks is included in Cango’s filings with the SEC. All information provided in this press release and in the attachments is as of the date of this press release, and Cango does not undertake any obligation to update any forward-looking statement, except as required under applicable law.</w:t>
      </w:r>
    </w:p>
    <w:p>
      <w:pPr>
        <w:spacing w:after="0" w:line="28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Investor Relations Contact</w:t>
      </w:r>
    </w:p>
    <w:p>
      <w:pPr>
        <w:spacing w:after="0" w:line="121" w:lineRule="exact"/>
        <w:rPr>
          <w:sz w:val="20"/>
          <w:szCs w:val="20"/>
          <w:color w:val="auto"/>
        </w:rPr>
      </w:pPr>
    </w:p>
    <w:p>
      <w:pPr>
        <w:spacing w:after="0"/>
        <w:rPr>
          <w:sz w:val="20"/>
          <w:szCs w:val="20"/>
          <w:color w:val="auto"/>
        </w:rPr>
      </w:pPr>
      <w:r>
        <w:rPr>
          <w:rFonts w:ascii="Arial" w:cs="Arial" w:eastAsia="Arial" w:hAnsi="Arial"/>
          <w:sz w:val="18"/>
          <w:szCs w:val="18"/>
          <w:color w:val="auto"/>
        </w:rPr>
        <w:t>Yihe Liu</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Cango Inc.</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Tel: +86 21 3183 5088 ext.5581</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Email: </w:t>
      </w:r>
      <w:r>
        <w:rPr>
          <w:rFonts w:ascii="Arial" w:cs="Arial" w:eastAsia="Arial" w:hAnsi="Arial"/>
          <w:sz w:val="18"/>
          <w:szCs w:val="18"/>
          <w:u w:val="single" w:color="auto"/>
          <w:color w:val="auto"/>
        </w:rPr>
        <w:t>ir@cangoonline.com</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Twitter: https://twitter.com/Cango_Group</w:t>
      </w:r>
    </w:p>
    <w:p>
      <w:pPr>
        <w:spacing w:after="0" w:line="143" w:lineRule="exact"/>
        <w:rPr>
          <w:sz w:val="20"/>
          <w:szCs w:val="20"/>
          <w:color w:val="auto"/>
        </w:rPr>
      </w:pPr>
    </w:p>
    <w:p>
      <w:pPr>
        <w:jc w:val="center"/>
        <w:ind w:right="-39"/>
        <w:spacing w:after="0"/>
        <w:rPr>
          <w:sz w:val="20"/>
          <w:szCs w:val="20"/>
          <w:color w:val="auto"/>
        </w:rPr>
      </w:pPr>
      <w:r>
        <w:rPr>
          <w:rFonts w:ascii="Arial" w:cs="Arial" w:eastAsia="Arial" w:hAnsi="Arial"/>
          <w:sz w:val="18"/>
          <w:szCs w:val="18"/>
          <w:color w:val="auto"/>
        </w:rPr>
        <w:t>6</w:t>
      </w:r>
    </w:p>
    <w:p>
      <w:pPr>
        <w:sectPr>
          <w:pgSz w:w="11900" w:h="16838" w:orient="portrait"/>
          <w:cols w:equalWidth="0" w:num="1">
            <w:col w:w="10960"/>
          </w:cols>
          <w:pgMar w:left="440" w:top="274" w:right="499" w:bottom="1440" w:gutter="0" w:footer="0" w:header="0"/>
        </w:sectPr>
      </w:pPr>
    </w:p>
    <w:bookmarkStart w:id="9" w:name="page10"/>
    <w:bookmarkEnd w:id="9"/>
    <w:p>
      <w:pPr>
        <w:spacing w:after="0"/>
        <w:rPr>
          <w:sz w:val="20"/>
          <w:szCs w:val="20"/>
          <w:color w:val="auto"/>
        </w:rPr>
      </w:pPr>
      <w:r>
        <w:rPr>
          <w:rFonts w:ascii="Arial" w:cs="Arial" w:eastAsia="Arial" w:hAnsi="Arial"/>
          <w:sz w:val="18"/>
          <w:szCs w:val="18"/>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10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174865" cy="38100"/>
                    </a:xfrm>
                    <a:prstGeom prst="rect">
                      <a:avLst/>
                    </a:prstGeom>
                    <a:noFill/>
                  </pic:spPr>
                </pic:pic>
              </a:graphicData>
            </a:graphic>
          </wp:anchor>
        </w:drawing>
        <w:t>Emilie Wu</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The Piacente Group, Inc.</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Tel: +86 21 6039 8363</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Email: </w:t>
      </w:r>
      <w:r>
        <w:rPr>
          <w:rFonts w:ascii="Arial" w:cs="Arial" w:eastAsia="Arial" w:hAnsi="Arial"/>
          <w:sz w:val="18"/>
          <w:szCs w:val="18"/>
          <w:u w:val="single" w:color="auto"/>
          <w:color w:val="auto"/>
        </w:rPr>
        <w:t>ir@cangoonline.com</w:t>
      </w:r>
    </w:p>
    <w:p>
      <w:pPr>
        <w:spacing w:after="0" w:line="143" w:lineRule="exact"/>
        <w:rPr>
          <w:sz w:val="20"/>
          <w:szCs w:val="20"/>
          <w:color w:val="auto"/>
        </w:rPr>
      </w:pPr>
    </w:p>
    <w:p>
      <w:pPr>
        <w:jc w:val="right"/>
        <w:ind w:right="4479"/>
        <w:spacing w:after="0"/>
        <w:rPr>
          <w:sz w:val="20"/>
          <w:szCs w:val="20"/>
          <w:color w:val="auto"/>
        </w:rPr>
      </w:pPr>
      <w:r>
        <w:rPr>
          <w:rFonts w:ascii="Arial" w:cs="Arial" w:eastAsia="Arial" w:hAnsi="Arial"/>
          <w:sz w:val="18"/>
          <w:szCs w:val="18"/>
          <w:color w:val="auto"/>
        </w:rPr>
        <w:t>7</w:t>
      </w:r>
    </w:p>
    <w:p>
      <w:pPr>
        <w:sectPr>
          <w:pgSz w:w="11900" w:h="16838" w:orient="portrait"/>
          <w:cols w:equalWidth="0" w:num="1">
            <w:col w:w="10019"/>
          </w:cols>
          <w:pgMar w:left="440" w:top="274" w:right="1440" w:bottom="1440" w:gutter="0" w:footer="0" w:header="0"/>
        </w:sectPr>
      </w:pPr>
    </w:p>
    <w:bookmarkStart w:id="10" w:name="page11"/>
    <w:bookmarkEnd w:id="10"/>
    <w:p>
      <w:pPr>
        <w:jc w:val="center"/>
        <w:ind w:right="20"/>
        <w:spacing w:after="0"/>
        <w:rPr>
          <w:sz w:val="20"/>
          <w:szCs w:val="20"/>
          <w:color w:val="auto"/>
        </w:rPr>
      </w:pPr>
      <w:r>
        <w:rPr>
          <w:rFonts w:ascii="Arial" w:cs="Arial" w:eastAsia="Arial" w:hAnsi="Arial"/>
          <w:sz w:val="18"/>
          <w:szCs w:val="18"/>
          <w:b w:val="1"/>
          <w:bCs w:val="1"/>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73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174865" cy="38735"/>
                    </a:xfrm>
                    <a:prstGeom prst="rect">
                      <a:avLst/>
                    </a:prstGeom>
                    <a:noFill/>
                  </pic:spPr>
                </pic:pic>
              </a:graphicData>
            </a:graphic>
          </wp:anchor>
        </w:drawing>
        <w:t>CANGO INC.</w:t>
      </w:r>
    </w:p>
    <w:p>
      <w:pPr>
        <w:spacing w:after="0" w:line="27" w:lineRule="exact"/>
        <w:rPr>
          <w:sz w:val="20"/>
          <w:szCs w:val="20"/>
          <w:color w:val="auto"/>
        </w:rPr>
      </w:pPr>
    </w:p>
    <w:p>
      <w:pPr>
        <w:jc w:val="center"/>
        <w:ind w:right="20"/>
        <w:spacing w:after="0"/>
        <w:rPr>
          <w:sz w:val="20"/>
          <w:szCs w:val="20"/>
          <w:color w:val="auto"/>
        </w:rPr>
      </w:pPr>
      <w:r>
        <w:rPr>
          <w:rFonts w:ascii="Arial" w:cs="Arial" w:eastAsia="Arial" w:hAnsi="Arial"/>
          <w:sz w:val="18"/>
          <w:szCs w:val="18"/>
          <w:b w:val="1"/>
          <w:bCs w:val="1"/>
          <w:color w:val="auto"/>
        </w:rPr>
        <w:t>UNAUDITED INTERIM CONDENSED CONSOLIDATED BALANCE SHEET</w:t>
      </w:r>
    </w:p>
    <w:p>
      <w:pPr>
        <w:spacing w:after="0" w:line="9" w:lineRule="exact"/>
        <w:rPr>
          <w:sz w:val="20"/>
          <w:szCs w:val="20"/>
          <w:color w:val="auto"/>
        </w:rPr>
      </w:pPr>
    </w:p>
    <w:p>
      <w:pPr>
        <w:jc w:val="center"/>
        <w:ind w:right="20"/>
        <w:spacing w:after="0"/>
        <w:rPr>
          <w:sz w:val="20"/>
          <w:szCs w:val="20"/>
          <w:color w:val="auto"/>
        </w:rPr>
      </w:pPr>
      <w:r>
        <w:rPr>
          <w:rFonts w:ascii="Arial" w:cs="Arial" w:eastAsia="Arial" w:hAnsi="Arial"/>
          <w:sz w:val="18"/>
          <w:szCs w:val="18"/>
          <w:b w:val="1"/>
          <w:bCs w:val="1"/>
          <w:color w:val="auto"/>
        </w:rPr>
        <w:t>(Amounts in Renminbi (“RMB”) and US dollar (“US$”), except for number of shares and per share data)</w:t>
      </w:r>
    </w:p>
    <w:p>
      <w:pPr>
        <w:spacing w:after="0" w:line="217" w:lineRule="exact"/>
        <w:rPr>
          <w:sz w:val="20"/>
          <w:szCs w:val="20"/>
          <w:color w:val="auto"/>
        </w:rPr>
      </w:pPr>
    </w:p>
    <w:tbl>
      <w:tblPr>
        <w:tblLayout w:type="fixed"/>
        <w:tblInd w:w="0" w:type="dxa"/>
        <w:tblCellMar>
          <w:top w:w="0" w:type="dxa"/>
          <w:left w:w="0" w:type="dxa"/>
          <w:bottom w:w="0" w:type="dxa"/>
          <w:right w:w="0" w:type="dxa"/>
        </w:tblCellMar>
      </w:tblPr>
      <w:tr>
        <w:trPr>
          <w:trHeight w:val="161"/>
        </w:trPr>
        <w:tc>
          <w:tcPr>
            <w:tcW w:w="6920" w:type="dxa"/>
            <w:vAlign w:val="bottom"/>
          </w:tcPr>
          <w:p>
            <w:pPr>
              <w:spacing w:after="0"/>
              <w:rPr>
                <w:sz w:val="14"/>
                <w:szCs w:val="14"/>
                <w:color w:val="auto"/>
              </w:rPr>
            </w:pPr>
          </w:p>
        </w:tc>
        <w:tc>
          <w:tcPr>
            <w:tcW w:w="1440" w:type="dxa"/>
            <w:vAlign w:val="bottom"/>
            <w:gridSpan w:val="3"/>
          </w:tcPr>
          <w:p>
            <w:pPr>
              <w:jc w:val="center"/>
              <w:ind w:right="220"/>
              <w:spacing w:after="0"/>
              <w:rPr>
                <w:sz w:val="20"/>
                <w:szCs w:val="20"/>
                <w:color w:val="auto"/>
              </w:rPr>
            </w:pPr>
            <w:r>
              <w:rPr>
                <w:rFonts w:ascii="Arial" w:cs="Arial" w:eastAsia="Arial" w:hAnsi="Arial"/>
                <w:sz w:val="14"/>
                <w:szCs w:val="14"/>
                <w:b w:val="1"/>
                <w:bCs w:val="1"/>
                <w:color w:val="auto"/>
                <w:w w:val="90"/>
              </w:rPr>
              <w:t>As of December 31,</w:t>
            </w:r>
          </w:p>
        </w:tc>
        <w:tc>
          <w:tcPr>
            <w:tcW w:w="2660" w:type="dxa"/>
            <w:vAlign w:val="bottom"/>
            <w:gridSpan w:val="4"/>
          </w:tcPr>
          <w:p>
            <w:pPr>
              <w:jc w:val="right"/>
              <w:ind w:right="960"/>
              <w:spacing w:after="0"/>
              <w:rPr>
                <w:sz w:val="20"/>
                <w:szCs w:val="20"/>
                <w:color w:val="auto"/>
              </w:rPr>
            </w:pPr>
            <w:r>
              <w:rPr>
                <w:rFonts w:ascii="Arial" w:cs="Arial" w:eastAsia="Arial" w:hAnsi="Arial"/>
                <w:sz w:val="14"/>
                <w:szCs w:val="14"/>
                <w:b w:val="1"/>
                <w:bCs w:val="1"/>
                <w:color w:val="auto"/>
              </w:rPr>
              <w:t>As of June 30,</w:t>
            </w:r>
          </w:p>
        </w:tc>
        <w:tc>
          <w:tcPr>
            <w:tcW w:w="0" w:type="dxa"/>
            <w:vAlign w:val="bottom"/>
          </w:tcPr>
          <w:p>
            <w:pPr>
              <w:spacing w:after="0"/>
              <w:rPr>
                <w:sz w:val="1"/>
                <w:szCs w:val="1"/>
                <w:color w:val="auto"/>
              </w:rPr>
            </w:pPr>
          </w:p>
        </w:tc>
      </w:tr>
      <w:tr>
        <w:trPr>
          <w:trHeight w:val="171"/>
        </w:trPr>
        <w:tc>
          <w:tcPr>
            <w:tcW w:w="6920" w:type="dxa"/>
            <w:vAlign w:val="bottom"/>
          </w:tcPr>
          <w:p>
            <w:pPr>
              <w:spacing w:after="0"/>
              <w:rPr>
                <w:sz w:val="14"/>
                <w:szCs w:val="14"/>
                <w:color w:val="auto"/>
              </w:rPr>
            </w:pPr>
          </w:p>
        </w:tc>
        <w:tc>
          <w:tcPr>
            <w:tcW w:w="1220" w:type="dxa"/>
            <w:vAlign w:val="bottom"/>
            <w:tcBorders>
              <w:bottom w:val="single" w:sz="8" w:color="auto"/>
            </w:tcBorders>
          </w:tcPr>
          <w:p>
            <w:pPr>
              <w:jc w:val="center"/>
              <w:spacing w:after="0"/>
              <w:rPr>
                <w:sz w:val="20"/>
                <w:szCs w:val="20"/>
                <w:color w:val="auto"/>
              </w:rPr>
            </w:pPr>
            <w:r>
              <w:rPr>
                <w:rFonts w:ascii="Arial" w:cs="Arial" w:eastAsia="Arial" w:hAnsi="Arial"/>
                <w:sz w:val="14"/>
                <w:szCs w:val="14"/>
                <w:b w:val="1"/>
                <w:bCs w:val="1"/>
                <w:color w:val="auto"/>
                <w:w w:val="96"/>
              </w:rPr>
              <w:t>2020</w:t>
            </w:r>
          </w:p>
        </w:tc>
        <w:tc>
          <w:tcPr>
            <w:tcW w:w="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400" w:type="dxa"/>
            <w:vAlign w:val="bottom"/>
            <w:tcBorders>
              <w:bottom w:val="single" w:sz="8" w:color="auto"/>
            </w:tcBorders>
            <w:gridSpan w:val="2"/>
          </w:tcPr>
          <w:p>
            <w:pPr>
              <w:jc w:val="right"/>
              <w:spacing w:after="0"/>
              <w:rPr>
                <w:sz w:val="20"/>
                <w:szCs w:val="20"/>
                <w:color w:val="auto"/>
              </w:rPr>
            </w:pPr>
            <w:r>
              <w:rPr>
                <w:rFonts w:ascii="Arial" w:cs="Arial" w:eastAsia="Arial" w:hAnsi="Arial"/>
                <w:sz w:val="14"/>
                <w:szCs w:val="14"/>
                <w:b w:val="1"/>
                <w:bCs w:val="1"/>
                <w:color w:val="auto"/>
              </w:rPr>
              <w:t>2021</w:t>
            </w:r>
          </w:p>
        </w:tc>
        <w:tc>
          <w:tcPr>
            <w:tcW w:w="114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6920" w:type="dxa"/>
            <w:vAlign w:val="bottom"/>
          </w:tcPr>
          <w:p>
            <w:pPr>
              <w:spacing w:after="0"/>
              <w:rPr>
                <w:sz w:val="12"/>
                <w:szCs w:val="12"/>
                <w:color w:val="auto"/>
              </w:rPr>
            </w:pPr>
          </w:p>
        </w:tc>
        <w:tc>
          <w:tcPr>
            <w:tcW w:w="1220" w:type="dxa"/>
            <w:vAlign w:val="bottom"/>
          </w:tcPr>
          <w:p>
            <w:pPr>
              <w:jc w:val="center"/>
              <w:spacing w:after="0" w:line="142" w:lineRule="exact"/>
              <w:rPr>
                <w:sz w:val="20"/>
                <w:szCs w:val="20"/>
                <w:color w:val="auto"/>
              </w:rPr>
            </w:pPr>
            <w:r>
              <w:rPr>
                <w:rFonts w:ascii="Arial" w:cs="Arial" w:eastAsia="Arial" w:hAnsi="Arial"/>
                <w:sz w:val="14"/>
                <w:szCs w:val="14"/>
                <w:b w:val="1"/>
                <w:bCs w:val="1"/>
                <w:color w:val="auto"/>
              </w:rPr>
              <w:t>RMB</w:t>
            </w:r>
          </w:p>
        </w:tc>
        <w:tc>
          <w:tcPr>
            <w:tcW w:w="220" w:type="dxa"/>
            <w:vAlign w:val="bottom"/>
            <w:gridSpan w:val="2"/>
          </w:tcPr>
          <w:p>
            <w:pPr>
              <w:spacing w:after="0"/>
              <w:rPr>
                <w:sz w:val="12"/>
                <w:szCs w:val="12"/>
                <w:color w:val="auto"/>
              </w:rPr>
            </w:pPr>
          </w:p>
        </w:tc>
        <w:tc>
          <w:tcPr>
            <w:tcW w:w="1400" w:type="dxa"/>
            <w:vAlign w:val="bottom"/>
            <w:gridSpan w:val="2"/>
          </w:tcPr>
          <w:p>
            <w:pPr>
              <w:jc w:val="right"/>
              <w:ind w:right="640"/>
              <w:spacing w:after="0" w:line="142" w:lineRule="exact"/>
              <w:rPr>
                <w:sz w:val="20"/>
                <w:szCs w:val="20"/>
                <w:color w:val="auto"/>
              </w:rPr>
            </w:pPr>
            <w:r>
              <w:rPr>
                <w:rFonts w:ascii="Arial" w:cs="Arial" w:eastAsia="Arial" w:hAnsi="Arial"/>
                <w:sz w:val="14"/>
                <w:szCs w:val="14"/>
                <w:b w:val="1"/>
                <w:bCs w:val="1"/>
                <w:color w:val="auto"/>
              </w:rPr>
              <w:t>RMB</w:t>
            </w:r>
          </w:p>
        </w:tc>
        <w:tc>
          <w:tcPr>
            <w:tcW w:w="1140" w:type="dxa"/>
            <w:vAlign w:val="bottom"/>
          </w:tcPr>
          <w:p>
            <w:pPr>
              <w:jc w:val="right"/>
              <w:ind w:right="350"/>
              <w:spacing w:after="0" w:line="142" w:lineRule="exact"/>
              <w:rPr>
                <w:sz w:val="20"/>
                <w:szCs w:val="20"/>
                <w:color w:val="auto"/>
              </w:rPr>
            </w:pPr>
            <w:r>
              <w:rPr>
                <w:rFonts w:ascii="Arial" w:cs="Arial" w:eastAsia="Arial" w:hAnsi="Arial"/>
                <w:sz w:val="14"/>
                <w:szCs w:val="14"/>
                <w:b w:val="1"/>
                <w:bCs w:val="1"/>
                <w:color w:val="auto"/>
              </w:rPr>
              <w:t>US$</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16"/>
        </w:trPr>
        <w:tc>
          <w:tcPr>
            <w:tcW w:w="69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12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920" w:type="dxa"/>
            <w:vAlign w:val="bottom"/>
          </w:tcPr>
          <w:p>
            <w:pPr>
              <w:spacing w:after="0"/>
              <w:rPr>
                <w:sz w:val="20"/>
                <w:szCs w:val="20"/>
                <w:color w:val="auto"/>
              </w:rPr>
            </w:pPr>
            <w:r>
              <w:rPr>
                <w:rFonts w:ascii="Arial" w:cs="Arial" w:eastAsia="Arial" w:hAnsi="Arial"/>
                <w:sz w:val="18"/>
                <w:szCs w:val="18"/>
                <w:b w:val="1"/>
                <w:bCs w:val="1"/>
                <w:color w:val="auto"/>
              </w:rPr>
              <w:t>Current assets:</w:t>
            </w:r>
          </w:p>
        </w:tc>
        <w:tc>
          <w:tcPr>
            <w:tcW w:w="12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920" w:type="dxa"/>
            <w:vAlign w:val="bottom"/>
            <w:shd w:val="clear" w:color="auto" w:fill="CCEEFF"/>
          </w:tcPr>
          <w:p>
            <w:pPr>
              <w:spacing w:after="0"/>
              <w:rPr>
                <w:sz w:val="20"/>
                <w:szCs w:val="20"/>
                <w:color w:val="auto"/>
              </w:rPr>
            </w:pPr>
            <w:r>
              <w:rPr>
                <w:rFonts w:ascii="Arial" w:cs="Arial" w:eastAsia="Arial" w:hAnsi="Arial"/>
                <w:sz w:val="18"/>
                <w:szCs w:val="18"/>
                <w:color w:val="auto"/>
              </w:rPr>
              <w:t>Cash and cash equivalents</w:t>
            </w:r>
          </w:p>
        </w:tc>
        <w:tc>
          <w:tcPr>
            <w:tcW w:w="12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1,426,899,576</w:t>
            </w:r>
          </w:p>
        </w:tc>
        <w:tc>
          <w:tcPr>
            <w:tcW w:w="20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1,498,947,545</w:t>
            </w: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232,157,412</w:t>
            </w:r>
          </w:p>
        </w:tc>
        <w:tc>
          <w:tcPr>
            <w:tcW w:w="0" w:type="dxa"/>
            <w:vAlign w:val="bottom"/>
          </w:tcPr>
          <w:p>
            <w:pPr>
              <w:spacing w:after="0"/>
              <w:rPr>
                <w:sz w:val="1"/>
                <w:szCs w:val="1"/>
                <w:color w:val="auto"/>
              </w:rPr>
            </w:pPr>
          </w:p>
        </w:tc>
      </w:tr>
      <w:tr>
        <w:trPr>
          <w:trHeight w:val="216"/>
        </w:trPr>
        <w:tc>
          <w:tcPr>
            <w:tcW w:w="6920" w:type="dxa"/>
            <w:vAlign w:val="bottom"/>
          </w:tcPr>
          <w:p>
            <w:pPr>
              <w:spacing w:after="0"/>
              <w:rPr>
                <w:sz w:val="20"/>
                <w:szCs w:val="20"/>
                <w:color w:val="auto"/>
              </w:rPr>
            </w:pPr>
            <w:r>
              <w:rPr>
                <w:rFonts w:ascii="Arial" w:cs="Arial" w:eastAsia="Arial" w:hAnsi="Arial"/>
                <w:sz w:val="18"/>
                <w:szCs w:val="18"/>
                <w:color w:val="auto"/>
              </w:rPr>
              <w:t>Restricted cash - current</w:t>
            </w:r>
          </w:p>
        </w:tc>
        <w:tc>
          <w:tcPr>
            <w:tcW w:w="1240" w:type="dxa"/>
            <w:vAlign w:val="bottom"/>
            <w:gridSpan w:val="2"/>
          </w:tcPr>
          <w:p>
            <w:pPr>
              <w:jc w:val="right"/>
              <w:ind w:right="20"/>
              <w:spacing w:after="0"/>
              <w:rPr>
                <w:sz w:val="20"/>
                <w:szCs w:val="20"/>
                <w:color w:val="auto"/>
              </w:rPr>
            </w:pPr>
            <w:r>
              <w:rPr>
                <w:rFonts w:ascii="Arial" w:cs="Arial" w:eastAsia="Arial" w:hAnsi="Arial"/>
                <w:sz w:val="18"/>
                <w:szCs w:val="18"/>
                <w:color w:val="auto"/>
              </w:rPr>
              <w:t>9,693,008</w:t>
            </w:r>
          </w:p>
        </w:tc>
        <w:tc>
          <w:tcPr>
            <w:tcW w:w="20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34,767,022</w:t>
            </w:r>
          </w:p>
        </w:tc>
        <w:tc>
          <w:tcPr>
            <w:tcW w:w="1260" w:type="dxa"/>
            <w:vAlign w:val="bottom"/>
            <w:gridSpan w:val="2"/>
          </w:tcPr>
          <w:p>
            <w:pPr>
              <w:jc w:val="right"/>
              <w:ind w:right="120"/>
              <w:spacing w:after="0"/>
              <w:rPr>
                <w:sz w:val="20"/>
                <w:szCs w:val="20"/>
                <w:color w:val="auto"/>
              </w:rPr>
            </w:pPr>
            <w:r>
              <w:rPr>
                <w:rFonts w:ascii="Arial" w:cs="Arial" w:eastAsia="Arial" w:hAnsi="Arial"/>
                <w:sz w:val="18"/>
                <w:szCs w:val="18"/>
                <w:color w:val="auto"/>
              </w:rPr>
              <w:t>5,384,726</w:t>
            </w:r>
          </w:p>
        </w:tc>
        <w:tc>
          <w:tcPr>
            <w:tcW w:w="0" w:type="dxa"/>
            <w:vAlign w:val="bottom"/>
          </w:tcPr>
          <w:p>
            <w:pPr>
              <w:spacing w:after="0"/>
              <w:rPr>
                <w:sz w:val="1"/>
                <w:szCs w:val="1"/>
                <w:color w:val="auto"/>
              </w:rPr>
            </w:pPr>
          </w:p>
        </w:tc>
      </w:tr>
      <w:tr>
        <w:trPr>
          <w:trHeight w:val="216"/>
        </w:trPr>
        <w:tc>
          <w:tcPr>
            <w:tcW w:w="6920" w:type="dxa"/>
            <w:vAlign w:val="bottom"/>
            <w:shd w:val="clear" w:color="auto" w:fill="CCEEFF"/>
          </w:tcPr>
          <w:p>
            <w:pPr>
              <w:spacing w:after="0"/>
              <w:rPr>
                <w:sz w:val="20"/>
                <w:szCs w:val="20"/>
                <w:color w:val="auto"/>
              </w:rPr>
            </w:pPr>
            <w:r>
              <w:rPr>
                <w:rFonts w:ascii="Arial" w:cs="Arial" w:eastAsia="Arial" w:hAnsi="Arial"/>
                <w:sz w:val="18"/>
                <w:szCs w:val="18"/>
                <w:color w:val="auto"/>
              </w:rPr>
              <w:t>Short-term investments</w:t>
            </w:r>
          </w:p>
        </w:tc>
        <w:tc>
          <w:tcPr>
            <w:tcW w:w="12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4,342,356,612</w:t>
            </w:r>
          </w:p>
        </w:tc>
        <w:tc>
          <w:tcPr>
            <w:tcW w:w="20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3,127,171,118</w:t>
            </w: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484,337,131</w:t>
            </w:r>
          </w:p>
        </w:tc>
        <w:tc>
          <w:tcPr>
            <w:tcW w:w="0" w:type="dxa"/>
            <w:vAlign w:val="bottom"/>
          </w:tcPr>
          <w:p>
            <w:pPr>
              <w:spacing w:after="0"/>
              <w:rPr>
                <w:sz w:val="1"/>
                <w:szCs w:val="1"/>
                <w:color w:val="auto"/>
              </w:rPr>
            </w:pPr>
          </w:p>
        </w:tc>
      </w:tr>
      <w:tr>
        <w:trPr>
          <w:trHeight w:val="216"/>
        </w:trPr>
        <w:tc>
          <w:tcPr>
            <w:tcW w:w="6920" w:type="dxa"/>
            <w:vAlign w:val="bottom"/>
          </w:tcPr>
          <w:p>
            <w:pPr>
              <w:spacing w:after="0"/>
              <w:rPr>
                <w:sz w:val="20"/>
                <w:szCs w:val="20"/>
                <w:color w:val="auto"/>
              </w:rPr>
            </w:pPr>
            <w:r>
              <w:rPr>
                <w:rFonts w:ascii="Arial" w:cs="Arial" w:eastAsia="Arial" w:hAnsi="Arial"/>
                <w:sz w:val="18"/>
                <w:szCs w:val="18"/>
                <w:color w:val="auto"/>
              </w:rPr>
              <w:t>Accounts receivable, net</w:t>
            </w:r>
          </w:p>
        </w:tc>
        <w:tc>
          <w:tcPr>
            <w:tcW w:w="1240" w:type="dxa"/>
            <w:vAlign w:val="bottom"/>
            <w:gridSpan w:val="2"/>
          </w:tcPr>
          <w:p>
            <w:pPr>
              <w:jc w:val="right"/>
              <w:ind w:right="20"/>
              <w:spacing w:after="0"/>
              <w:rPr>
                <w:sz w:val="20"/>
                <w:szCs w:val="20"/>
                <w:color w:val="auto"/>
              </w:rPr>
            </w:pPr>
            <w:r>
              <w:rPr>
                <w:rFonts w:ascii="Arial" w:cs="Arial" w:eastAsia="Arial" w:hAnsi="Arial"/>
                <w:sz w:val="18"/>
                <w:szCs w:val="18"/>
                <w:color w:val="auto"/>
              </w:rPr>
              <w:t>141,594,170</w:t>
            </w:r>
          </w:p>
        </w:tc>
        <w:tc>
          <w:tcPr>
            <w:tcW w:w="20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157,050,941</w:t>
            </w:r>
          </w:p>
        </w:tc>
        <w:tc>
          <w:tcPr>
            <w:tcW w:w="1260" w:type="dxa"/>
            <w:vAlign w:val="bottom"/>
            <w:gridSpan w:val="2"/>
          </w:tcPr>
          <w:p>
            <w:pPr>
              <w:jc w:val="right"/>
              <w:ind w:right="120"/>
              <w:spacing w:after="0"/>
              <w:rPr>
                <w:sz w:val="20"/>
                <w:szCs w:val="20"/>
                <w:color w:val="auto"/>
              </w:rPr>
            </w:pPr>
            <w:r>
              <w:rPr>
                <w:rFonts w:ascii="Arial" w:cs="Arial" w:eastAsia="Arial" w:hAnsi="Arial"/>
                <w:sz w:val="18"/>
                <w:szCs w:val="18"/>
                <w:color w:val="auto"/>
              </w:rPr>
              <w:t>24,324,093</w:t>
            </w:r>
          </w:p>
        </w:tc>
        <w:tc>
          <w:tcPr>
            <w:tcW w:w="0" w:type="dxa"/>
            <w:vAlign w:val="bottom"/>
          </w:tcPr>
          <w:p>
            <w:pPr>
              <w:spacing w:after="0"/>
              <w:rPr>
                <w:sz w:val="1"/>
                <w:szCs w:val="1"/>
                <w:color w:val="auto"/>
              </w:rPr>
            </w:pPr>
          </w:p>
        </w:tc>
      </w:tr>
      <w:tr>
        <w:trPr>
          <w:trHeight w:val="216"/>
        </w:trPr>
        <w:tc>
          <w:tcPr>
            <w:tcW w:w="6920" w:type="dxa"/>
            <w:vAlign w:val="bottom"/>
            <w:shd w:val="clear" w:color="auto" w:fill="CCEEFF"/>
          </w:tcPr>
          <w:p>
            <w:pPr>
              <w:spacing w:after="0"/>
              <w:rPr>
                <w:sz w:val="20"/>
                <w:szCs w:val="20"/>
                <w:color w:val="auto"/>
              </w:rPr>
            </w:pPr>
            <w:r>
              <w:rPr>
                <w:rFonts w:ascii="Arial" w:cs="Arial" w:eastAsia="Arial" w:hAnsi="Arial"/>
                <w:sz w:val="18"/>
                <w:szCs w:val="18"/>
                <w:color w:val="auto"/>
              </w:rPr>
              <w:t>Finance lease receivables - current, net</w:t>
            </w:r>
          </w:p>
        </w:tc>
        <w:tc>
          <w:tcPr>
            <w:tcW w:w="12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2,035,397,525</w:t>
            </w:r>
          </w:p>
        </w:tc>
        <w:tc>
          <w:tcPr>
            <w:tcW w:w="20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1,717,714,853</w:t>
            </w: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266,040,153</w:t>
            </w:r>
          </w:p>
        </w:tc>
        <w:tc>
          <w:tcPr>
            <w:tcW w:w="0" w:type="dxa"/>
            <w:vAlign w:val="bottom"/>
          </w:tcPr>
          <w:p>
            <w:pPr>
              <w:spacing w:after="0"/>
              <w:rPr>
                <w:sz w:val="1"/>
                <w:szCs w:val="1"/>
                <w:color w:val="auto"/>
              </w:rPr>
            </w:pPr>
          </w:p>
        </w:tc>
      </w:tr>
      <w:tr>
        <w:trPr>
          <w:trHeight w:val="216"/>
        </w:trPr>
        <w:tc>
          <w:tcPr>
            <w:tcW w:w="6920" w:type="dxa"/>
            <w:vAlign w:val="bottom"/>
          </w:tcPr>
          <w:p>
            <w:pPr>
              <w:spacing w:after="0"/>
              <w:rPr>
                <w:sz w:val="20"/>
                <w:szCs w:val="20"/>
                <w:color w:val="auto"/>
              </w:rPr>
            </w:pPr>
            <w:r>
              <w:rPr>
                <w:rFonts w:ascii="Arial" w:cs="Arial" w:eastAsia="Arial" w:hAnsi="Arial"/>
                <w:sz w:val="18"/>
                <w:szCs w:val="18"/>
                <w:color w:val="auto"/>
              </w:rPr>
              <w:t>Short-term consumer financing receivables, net</w:t>
            </w:r>
          </w:p>
        </w:tc>
        <w:tc>
          <w:tcPr>
            <w:tcW w:w="1240" w:type="dxa"/>
            <w:vAlign w:val="bottom"/>
            <w:gridSpan w:val="2"/>
          </w:tcPr>
          <w:p>
            <w:pPr>
              <w:jc w:val="right"/>
              <w:ind w:right="20"/>
              <w:spacing w:after="0"/>
              <w:rPr>
                <w:sz w:val="20"/>
                <w:szCs w:val="20"/>
                <w:color w:val="auto"/>
              </w:rPr>
            </w:pPr>
            <w:r>
              <w:rPr>
                <w:rFonts w:ascii="Arial" w:cs="Arial" w:eastAsia="Arial" w:hAnsi="Arial"/>
                <w:sz w:val="18"/>
                <w:szCs w:val="18"/>
                <w:color w:val="auto"/>
              </w:rPr>
              <w:t>23,168</w:t>
            </w:r>
          </w:p>
        </w:tc>
        <w:tc>
          <w:tcPr>
            <w:tcW w:w="200" w:type="dxa"/>
            <w:vAlign w:val="bottom"/>
          </w:tcPr>
          <w:p>
            <w:pPr>
              <w:spacing w:after="0"/>
              <w:rPr>
                <w:sz w:val="18"/>
                <w:szCs w:val="18"/>
                <w:color w:val="auto"/>
              </w:rPr>
            </w:pPr>
          </w:p>
        </w:tc>
        <w:tc>
          <w:tcPr>
            <w:tcW w:w="1400" w:type="dxa"/>
            <w:vAlign w:val="bottom"/>
            <w:gridSpan w:val="2"/>
          </w:tcPr>
          <w:p>
            <w:pPr>
              <w:jc w:val="right"/>
              <w:ind w:right="300"/>
              <w:spacing w:after="0"/>
              <w:rPr>
                <w:sz w:val="20"/>
                <w:szCs w:val="20"/>
                <w:color w:val="auto"/>
              </w:rPr>
            </w:pPr>
            <w:r>
              <w:rPr>
                <w:rFonts w:ascii="Arial" w:cs="Arial" w:eastAsia="Arial" w:hAnsi="Arial"/>
                <w:sz w:val="18"/>
                <w:szCs w:val="18"/>
                <w:color w:val="auto"/>
              </w:rPr>
              <w:t>—</w:t>
            </w:r>
          </w:p>
        </w:tc>
        <w:tc>
          <w:tcPr>
            <w:tcW w:w="12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6920" w:type="dxa"/>
            <w:vAlign w:val="bottom"/>
            <w:shd w:val="clear" w:color="auto" w:fill="CCEEFF"/>
          </w:tcPr>
          <w:p>
            <w:pPr>
              <w:spacing w:after="0"/>
              <w:rPr>
                <w:sz w:val="20"/>
                <w:szCs w:val="20"/>
                <w:color w:val="auto"/>
              </w:rPr>
            </w:pPr>
            <w:r>
              <w:rPr>
                <w:rFonts w:ascii="Arial" w:cs="Arial" w:eastAsia="Arial" w:hAnsi="Arial"/>
                <w:sz w:val="18"/>
                <w:szCs w:val="18"/>
                <w:color w:val="auto"/>
              </w:rPr>
              <w:t>Financing receivables, net</w:t>
            </w:r>
          </w:p>
        </w:tc>
        <w:tc>
          <w:tcPr>
            <w:tcW w:w="12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20,105,893</w:t>
            </w:r>
          </w:p>
        </w:tc>
        <w:tc>
          <w:tcPr>
            <w:tcW w:w="20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43,575,286</w:t>
            </w: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6,748,952</w:t>
            </w:r>
          </w:p>
        </w:tc>
        <w:tc>
          <w:tcPr>
            <w:tcW w:w="0" w:type="dxa"/>
            <w:vAlign w:val="bottom"/>
          </w:tcPr>
          <w:p>
            <w:pPr>
              <w:spacing w:after="0"/>
              <w:rPr>
                <w:sz w:val="1"/>
                <w:szCs w:val="1"/>
                <w:color w:val="auto"/>
              </w:rPr>
            </w:pPr>
          </w:p>
        </w:tc>
      </w:tr>
      <w:tr>
        <w:trPr>
          <w:trHeight w:val="216"/>
        </w:trPr>
        <w:tc>
          <w:tcPr>
            <w:tcW w:w="6920" w:type="dxa"/>
            <w:vAlign w:val="bottom"/>
          </w:tcPr>
          <w:p>
            <w:pPr>
              <w:spacing w:after="0"/>
              <w:rPr>
                <w:sz w:val="20"/>
                <w:szCs w:val="20"/>
                <w:color w:val="auto"/>
              </w:rPr>
            </w:pPr>
            <w:r>
              <w:rPr>
                <w:rFonts w:ascii="Arial" w:cs="Arial" w:eastAsia="Arial" w:hAnsi="Arial"/>
                <w:sz w:val="18"/>
                <w:szCs w:val="18"/>
                <w:color w:val="auto"/>
              </w:rPr>
              <w:t>Short-term contract asset</w:t>
            </w:r>
          </w:p>
        </w:tc>
        <w:tc>
          <w:tcPr>
            <w:tcW w:w="1240" w:type="dxa"/>
            <w:vAlign w:val="bottom"/>
            <w:gridSpan w:val="2"/>
          </w:tcPr>
          <w:p>
            <w:pPr>
              <w:jc w:val="right"/>
              <w:ind w:right="20"/>
              <w:spacing w:after="0"/>
              <w:rPr>
                <w:sz w:val="20"/>
                <w:szCs w:val="20"/>
                <w:color w:val="auto"/>
              </w:rPr>
            </w:pPr>
            <w:r>
              <w:rPr>
                <w:rFonts w:ascii="Arial" w:cs="Arial" w:eastAsia="Arial" w:hAnsi="Arial"/>
                <w:sz w:val="18"/>
                <w:szCs w:val="18"/>
                <w:color w:val="auto"/>
              </w:rPr>
              <w:t>364,618,635</w:t>
            </w:r>
          </w:p>
        </w:tc>
        <w:tc>
          <w:tcPr>
            <w:tcW w:w="20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714,635,512</w:t>
            </w:r>
          </w:p>
        </w:tc>
        <w:tc>
          <w:tcPr>
            <w:tcW w:w="1260" w:type="dxa"/>
            <w:vAlign w:val="bottom"/>
            <w:gridSpan w:val="2"/>
          </w:tcPr>
          <w:p>
            <w:pPr>
              <w:jc w:val="right"/>
              <w:ind w:right="120"/>
              <w:spacing w:after="0"/>
              <w:rPr>
                <w:sz w:val="20"/>
                <w:szCs w:val="20"/>
                <w:color w:val="auto"/>
              </w:rPr>
            </w:pPr>
            <w:r>
              <w:rPr>
                <w:rFonts w:ascii="Arial" w:cs="Arial" w:eastAsia="Arial" w:hAnsi="Arial"/>
                <w:sz w:val="18"/>
                <w:szCs w:val="18"/>
                <w:color w:val="auto"/>
              </w:rPr>
              <w:t>110,682,946</w:t>
            </w:r>
          </w:p>
        </w:tc>
        <w:tc>
          <w:tcPr>
            <w:tcW w:w="0" w:type="dxa"/>
            <w:vAlign w:val="bottom"/>
          </w:tcPr>
          <w:p>
            <w:pPr>
              <w:spacing w:after="0"/>
              <w:rPr>
                <w:sz w:val="1"/>
                <w:szCs w:val="1"/>
                <w:color w:val="auto"/>
              </w:rPr>
            </w:pPr>
          </w:p>
        </w:tc>
      </w:tr>
      <w:tr>
        <w:trPr>
          <w:trHeight w:val="216"/>
        </w:trPr>
        <w:tc>
          <w:tcPr>
            <w:tcW w:w="6920" w:type="dxa"/>
            <w:vAlign w:val="bottom"/>
            <w:shd w:val="clear" w:color="auto" w:fill="CCEEFF"/>
          </w:tcPr>
          <w:p>
            <w:pPr>
              <w:spacing w:after="0"/>
              <w:rPr>
                <w:sz w:val="20"/>
                <w:szCs w:val="20"/>
                <w:color w:val="auto"/>
              </w:rPr>
            </w:pPr>
            <w:r>
              <w:rPr>
                <w:rFonts w:ascii="Arial" w:cs="Arial" w:eastAsia="Arial" w:hAnsi="Arial"/>
                <w:sz w:val="18"/>
                <w:szCs w:val="18"/>
                <w:color w:val="auto"/>
              </w:rPr>
              <w:t>Prepayments and other current assets</w:t>
            </w:r>
          </w:p>
        </w:tc>
        <w:tc>
          <w:tcPr>
            <w:tcW w:w="12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558,360,959</w:t>
            </w:r>
          </w:p>
        </w:tc>
        <w:tc>
          <w:tcPr>
            <w:tcW w:w="20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887,766,346</w:t>
            </w: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137,497,498</w:t>
            </w:r>
          </w:p>
        </w:tc>
        <w:tc>
          <w:tcPr>
            <w:tcW w:w="0" w:type="dxa"/>
            <w:vAlign w:val="bottom"/>
          </w:tcPr>
          <w:p>
            <w:pPr>
              <w:spacing w:after="0"/>
              <w:rPr>
                <w:sz w:val="1"/>
                <w:szCs w:val="1"/>
                <w:color w:val="auto"/>
              </w:rPr>
            </w:pPr>
          </w:p>
        </w:tc>
      </w:tr>
      <w:tr>
        <w:trPr>
          <w:trHeight w:val="223"/>
        </w:trPr>
        <w:tc>
          <w:tcPr>
            <w:tcW w:w="6920" w:type="dxa"/>
            <w:vAlign w:val="bottom"/>
          </w:tcPr>
          <w:p>
            <w:pPr>
              <w:spacing w:after="0"/>
              <w:rPr>
                <w:sz w:val="20"/>
                <w:szCs w:val="20"/>
                <w:color w:val="auto"/>
              </w:rPr>
            </w:pPr>
            <w:r>
              <w:rPr>
                <w:rFonts w:ascii="Arial" w:cs="Arial" w:eastAsia="Arial" w:hAnsi="Arial"/>
                <w:sz w:val="18"/>
                <w:szCs w:val="18"/>
                <w:b w:val="1"/>
                <w:bCs w:val="1"/>
                <w:color w:val="auto"/>
              </w:rPr>
              <w:t>Total current assets</w:t>
            </w: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8,899,049,546</w:t>
            </w:r>
          </w:p>
        </w:tc>
        <w:tc>
          <w:tcPr>
            <w:tcW w:w="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8,181,628,623</w:t>
            </w:r>
          </w:p>
        </w:tc>
        <w:tc>
          <w:tcPr>
            <w:tcW w:w="200" w:type="dxa"/>
            <w:vAlign w:val="bottom"/>
          </w:tcPr>
          <w:p>
            <w:pPr>
              <w:spacing w:after="0"/>
              <w:rPr>
                <w:sz w:val="19"/>
                <w:szCs w:val="19"/>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7"/>
              </w:rPr>
              <w:t>1,267,172,911</w:t>
            </w:r>
          </w:p>
        </w:tc>
        <w:tc>
          <w:tcPr>
            <w:tcW w:w="1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15"/>
        </w:trPr>
        <w:tc>
          <w:tcPr>
            <w:tcW w:w="6920" w:type="dxa"/>
            <w:vAlign w:val="bottom"/>
          </w:tcPr>
          <w:p>
            <w:pPr>
              <w:spacing w:after="0"/>
              <w:rPr>
                <w:sz w:val="10"/>
                <w:szCs w:val="10"/>
                <w:color w:val="auto"/>
              </w:rPr>
            </w:pPr>
          </w:p>
        </w:tc>
        <w:tc>
          <w:tcPr>
            <w:tcW w:w="122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120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11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216"/>
        </w:trPr>
        <w:tc>
          <w:tcPr>
            <w:tcW w:w="69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Non-current assets:</w:t>
            </w:r>
          </w:p>
        </w:tc>
        <w:tc>
          <w:tcPr>
            <w:tcW w:w="12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920" w:type="dxa"/>
            <w:vAlign w:val="bottom"/>
          </w:tcPr>
          <w:p>
            <w:pPr>
              <w:spacing w:after="0"/>
              <w:rPr>
                <w:sz w:val="20"/>
                <w:szCs w:val="20"/>
                <w:color w:val="auto"/>
              </w:rPr>
            </w:pPr>
            <w:r>
              <w:rPr>
                <w:rFonts w:ascii="Arial" w:cs="Arial" w:eastAsia="Arial" w:hAnsi="Arial"/>
                <w:sz w:val="18"/>
                <w:szCs w:val="18"/>
                <w:color w:val="auto"/>
              </w:rPr>
              <w:t>Restricted cash - non-current</w:t>
            </w:r>
          </w:p>
        </w:tc>
        <w:tc>
          <w:tcPr>
            <w:tcW w:w="1240" w:type="dxa"/>
            <w:vAlign w:val="bottom"/>
            <w:gridSpan w:val="2"/>
          </w:tcPr>
          <w:p>
            <w:pPr>
              <w:jc w:val="right"/>
              <w:ind w:right="20"/>
              <w:spacing w:after="0"/>
              <w:rPr>
                <w:sz w:val="20"/>
                <w:szCs w:val="20"/>
                <w:color w:val="auto"/>
              </w:rPr>
            </w:pPr>
            <w:r>
              <w:rPr>
                <w:rFonts w:ascii="Arial" w:cs="Arial" w:eastAsia="Arial" w:hAnsi="Arial"/>
                <w:sz w:val="18"/>
                <w:szCs w:val="18"/>
                <w:color w:val="auto"/>
              </w:rPr>
              <w:t>878,299,140</w:t>
            </w:r>
          </w:p>
        </w:tc>
        <w:tc>
          <w:tcPr>
            <w:tcW w:w="20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845,590,108</w:t>
            </w:r>
          </w:p>
        </w:tc>
        <w:tc>
          <w:tcPr>
            <w:tcW w:w="1260" w:type="dxa"/>
            <w:vAlign w:val="bottom"/>
            <w:gridSpan w:val="2"/>
          </w:tcPr>
          <w:p>
            <w:pPr>
              <w:jc w:val="right"/>
              <w:ind w:right="120"/>
              <w:spacing w:after="0"/>
              <w:rPr>
                <w:sz w:val="20"/>
                <w:szCs w:val="20"/>
                <w:color w:val="auto"/>
              </w:rPr>
            </w:pPr>
            <w:r>
              <w:rPr>
                <w:rFonts w:ascii="Arial" w:cs="Arial" w:eastAsia="Arial" w:hAnsi="Arial"/>
                <w:sz w:val="18"/>
                <w:szCs w:val="18"/>
                <w:color w:val="auto"/>
              </w:rPr>
              <w:t>130,965,231</w:t>
            </w:r>
          </w:p>
        </w:tc>
        <w:tc>
          <w:tcPr>
            <w:tcW w:w="0" w:type="dxa"/>
            <w:vAlign w:val="bottom"/>
          </w:tcPr>
          <w:p>
            <w:pPr>
              <w:spacing w:after="0"/>
              <w:rPr>
                <w:sz w:val="1"/>
                <w:szCs w:val="1"/>
                <w:color w:val="auto"/>
              </w:rPr>
            </w:pPr>
          </w:p>
        </w:tc>
      </w:tr>
      <w:tr>
        <w:trPr>
          <w:trHeight w:val="216"/>
        </w:trPr>
        <w:tc>
          <w:tcPr>
            <w:tcW w:w="6920" w:type="dxa"/>
            <w:vAlign w:val="bottom"/>
            <w:shd w:val="clear" w:color="auto" w:fill="CCEEFF"/>
          </w:tcPr>
          <w:p>
            <w:pPr>
              <w:spacing w:after="0"/>
              <w:rPr>
                <w:sz w:val="20"/>
                <w:szCs w:val="20"/>
                <w:color w:val="auto"/>
              </w:rPr>
            </w:pPr>
            <w:r>
              <w:rPr>
                <w:rFonts w:ascii="Arial" w:cs="Arial" w:eastAsia="Arial" w:hAnsi="Arial"/>
                <w:sz w:val="18"/>
                <w:szCs w:val="18"/>
                <w:color w:val="auto"/>
              </w:rPr>
              <w:t>Goodwill</w:t>
            </w:r>
          </w:p>
        </w:tc>
        <w:tc>
          <w:tcPr>
            <w:tcW w:w="12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145,063,857</w:t>
            </w:r>
          </w:p>
        </w:tc>
        <w:tc>
          <w:tcPr>
            <w:tcW w:w="20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145,063,857</w:t>
            </w: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22,467,530</w:t>
            </w:r>
          </w:p>
        </w:tc>
        <w:tc>
          <w:tcPr>
            <w:tcW w:w="0" w:type="dxa"/>
            <w:vAlign w:val="bottom"/>
          </w:tcPr>
          <w:p>
            <w:pPr>
              <w:spacing w:after="0"/>
              <w:rPr>
                <w:sz w:val="1"/>
                <w:szCs w:val="1"/>
                <w:color w:val="auto"/>
              </w:rPr>
            </w:pPr>
          </w:p>
        </w:tc>
      </w:tr>
      <w:tr>
        <w:trPr>
          <w:trHeight w:val="216"/>
        </w:trPr>
        <w:tc>
          <w:tcPr>
            <w:tcW w:w="6920" w:type="dxa"/>
            <w:vAlign w:val="bottom"/>
          </w:tcPr>
          <w:p>
            <w:pPr>
              <w:spacing w:after="0"/>
              <w:rPr>
                <w:sz w:val="20"/>
                <w:szCs w:val="20"/>
                <w:color w:val="auto"/>
              </w:rPr>
            </w:pPr>
            <w:r>
              <w:rPr>
                <w:rFonts w:ascii="Arial" w:cs="Arial" w:eastAsia="Arial" w:hAnsi="Arial"/>
                <w:sz w:val="18"/>
                <w:szCs w:val="18"/>
                <w:color w:val="auto"/>
              </w:rPr>
              <w:t>Property and equipment, net</w:t>
            </w:r>
          </w:p>
        </w:tc>
        <w:tc>
          <w:tcPr>
            <w:tcW w:w="1240" w:type="dxa"/>
            <w:vAlign w:val="bottom"/>
            <w:gridSpan w:val="2"/>
          </w:tcPr>
          <w:p>
            <w:pPr>
              <w:jc w:val="right"/>
              <w:ind w:right="20"/>
              <w:spacing w:after="0"/>
              <w:rPr>
                <w:sz w:val="20"/>
                <w:szCs w:val="20"/>
                <w:color w:val="auto"/>
              </w:rPr>
            </w:pPr>
            <w:r>
              <w:rPr>
                <w:rFonts w:ascii="Arial" w:cs="Arial" w:eastAsia="Arial" w:hAnsi="Arial"/>
                <w:sz w:val="18"/>
                <w:szCs w:val="18"/>
                <w:color w:val="auto"/>
              </w:rPr>
              <w:t>10,311,971</w:t>
            </w:r>
          </w:p>
        </w:tc>
        <w:tc>
          <w:tcPr>
            <w:tcW w:w="20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21,032,036</w:t>
            </w:r>
          </w:p>
        </w:tc>
        <w:tc>
          <w:tcPr>
            <w:tcW w:w="1260" w:type="dxa"/>
            <w:vAlign w:val="bottom"/>
            <w:gridSpan w:val="2"/>
          </w:tcPr>
          <w:p>
            <w:pPr>
              <w:jc w:val="right"/>
              <w:ind w:right="120"/>
              <w:spacing w:after="0"/>
              <w:rPr>
                <w:sz w:val="20"/>
                <w:szCs w:val="20"/>
                <w:color w:val="auto"/>
              </w:rPr>
            </w:pPr>
            <w:r>
              <w:rPr>
                <w:rFonts w:ascii="Arial" w:cs="Arial" w:eastAsia="Arial" w:hAnsi="Arial"/>
                <w:sz w:val="18"/>
                <w:szCs w:val="18"/>
                <w:color w:val="auto"/>
              </w:rPr>
              <w:t>3,257,448</w:t>
            </w:r>
          </w:p>
        </w:tc>
        <w:tc>
          <w:tcPr>
            <w:tcW w:w="0" w:type="dxa"/>
            <w:vAlign w:val="bottom"/>
          </w:tcPr>
          <w:p>
            <w:pPr>
              <w:spacing w:after="0"/>
              <w:rPr>
                <w:sz w:val="1"/>
                <w:szCs w:val="1"/>
                <w:color w:val="auto"/>
              </w:rPr>
            </w:pPr>
          </w:p>
        </w:tc>
      </w:tr>
      <w:tr>
        <w:trPr>
          <w:trHeight w:val="216"/>
        </w:trPr>
        <w:tc>
          <w:tcPr>
            <w:tcW w:w="6920" w:type="dxa"/>
            <w:vAlign w:val="bottom"/>
            <w:shd w:val="clear" w:color="auto" w:fill="CCEEFF"/>
          </w:tcPr>
          <w:p>
            <w:pPr>
              <w:spacing w:after="0"/>
              <w:rPr>
                <w:sz w:val="20"/>
                <w:szCs w:val="20"/>
                <w:color w:val="auto"/>
              </w:rPr>
            </w:pPr>
            <w:r>
              <w:rPr>
                <w:rFonts w:ascii="Arial" w:cs="Arial" w:eastAsia="Arial" w:hAnsi="Arial"/>
                <w:sz w:val="18"/>
                <w:szCs w:val="18"/>
                <w:color w:val="auto"/>
              </w:rPr>
              <w:t>Intangible assets</w:t>
            </w:r>
          </w:p>
        </w:tc>
        <w:tc>
          <w:tcPr>
            <w:tcW w:w="12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44,887,871</w:t>
            </w:r>
          </w:p>
        </w:tc>
        <w:tc>
          <w:tcPr>
            <w:tcW w:w="20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44,683,992</w:t>
            </w: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6,920,669</w:t>
            </w:r>
          </w:p>
        </w:tc>
        <w:tc>
          <w:tcPr>
            <w:tcW w:w="0" w:type="dxa"/>
            <w:vAlign w:val="bottom"/>
          </w:tcPr>
          <w:p>
            <w:pPr>
              <w:spacing w:after="0"/>
              <w:rPr>
                <w:sz w:val="1"/>
                <w:szCs w:val="1"/>
                <w:color w:val="auto"/>
              </w:rPr>
            </w:pPr>
          </w:p>
        </w:tc>
      </w:tr>
      <w:tr>
        <w:trPr>
          <w:trHeight w:val="216"/>
        </w:trPr>
        <w:tc>
          <w:tcPr>
            <w:tcW w:w="6920" w:type="dxa"/>
            <w:vAlign w:val="bottom"/>
          </w:tcPr>
          <w:p>
            <w:pPr>
              <w:spacing w:after="0"/>
              <w:rPr>
                <w:sz w:val="20"/>
                <w:szCs w:val="20"/>
                <w:color w:val="auto"/>
              </w:rPr>
            </w:pPr>
            <w:r>
              <w:rPr>
                <w:rFonts w:ascii="Arial" w:cs="Arial" w:eastAsia="Arial" w:hAnsi="Arial"/>
                <w:sz w:val="18"/>
                <w:szCs w:val="18"/>
                <w:color w:val="auto"/>
              </w:rPr>
              <w:t>Long-term contract asset</w:t>
            </w:r>
          </w:p>
        </w:tc>
        <w:tc>
          <w:tcPr>
            <w:tcW w:w="1240" w:type="dxa"/>
            <w:vAlign w:val="bottom"/>
            <w:gridSpan w:val="2"/>
          </w:tcPr>
          <w:p>
            <w:pPr>
              <w:jc w:val="right"/>
              <w:ind w:right="20"/>
              <w:spacing w:after="0"/>
              <w:rPr>
                <w:sz w:val="20"/>
                <w:szCs w:val="20"/>
                <w:color w:val="auto"/>
              </w:rPr>
            </w:pPr>
            <w:r>
              <w:rPr>
                <w:rFonts w:ascii="Arial" w:cs="Arial" w:eastAsia="Arial" w:hAnsi="Arial"/>
                <w:sz w:val="18"/>
                <w:szCs w:val="18"/>
                <w:color w:val="auto"/>
              </w:rPr>
              <w:t>281,374,110</w:t>
            </w:r>
          </w:p>
        </w:tc>
        <w:tc>
          <w:tcPr>
            <w:tcW w:w="20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474,407,237</w:t>
            </w:r>
          </w:p>
        </w:tc>
        <w:tc>
          <w:tcPr>
            <w:tcW w:w="1260" w:type="dxa"/>
            <w:vAlign w:val="bottom"/>
            <w:gridSpan w:val="2"/>
          </w:tcPr>
          <w:p>
            <w:pPr>
              <w:jc w:val="right"/>
              <w:ind w:right="120"/>
              <w:spacing w:after="0"/>
              <w:rPr>
                <w:sz w:val="20"/>
                <w:szCs w:val="20"/>
                <w:color w:val="auto"/>
              </w:rPr>
            </w:pPr>
            <w:r>
              <w:rPr>
                <w:rFonts w:ascii="Arial" w:cs="Arial" w:eastAsia="Arial" w:hAnsi="Arial"/>
                <w:sz w:val="18"/>
                <w:szCs w:val="18"/>
                <w:color w:val="auto"/>
              </w:rPr>
              <w:t>73,476,325</w:t>
            </w:r>
          </w:p>
        </w:tc>
        <w:tc>
          <w:tcPr>
            <w:tcW w:w="0" w:type="dxa"/>
            <w:vAlign w:val="bottom"/>
          </w:tcPr>
          <w:p>
            <w:pPr>
              <w:spacing w:after="0"/>
              <w:rPr>
                <w:sz w:val="1"/>
                <w:szCs w:val="1"/>
                <w:color w:val="auto"/>
              </w:rPr>
            </w:pPr>
          </w:p>
        </w:tc>
      </w:tr>
      <w:tr>
        <w:trPr>
          <w:trHeight w:val="216"/>
        </w:trPr>
        <w:tc>
          <w:tcPr>
            <w:tcW w:w="6920" w:type="dxa"/>
            <w:vAlign w:val="bottom"/>
            <w:shd w:val="clear" w:color="auto" w:fill="CCEEFF"/>
          </w:tcPr>
          <w:p>
            <w:pPr>
              <w:spacing w:after="0"/>
              <w:rPr>
                <w:sz w:val="20"/>
                <w:szCs w:val="20"/>
                <w:color w:val="auto"/>
              </w:rPr>
            </w:pPr>
            <w:r>
              <w:rPr>
                <w:rFonts w:ascii="Arial" w:cs="Arial" w:eastAsia="Arial" w:hAnsi="Arial"/>
                <w:sz w:val="18"/>
                <w:szCs w:val="18"/>
                <w:color w:val="auto"/>
              </w:rPr>
              <w:t>Deferred tax assets</w:t>
            </w:r>
          </w:p>
        </w:tc>
        <w:tc>
          <w:tcPr>
            <w:tcW w:w="12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170,951,082</w:t>
            </w:r>
          </w:p>
        </w:tc>
        <w:tc>
          <w:tcPr>
            <w:tcW w:w="20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374,774,207</w:t>
            </w: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58,045,133</w:t>
            </w:r>
          </w:p>
        </w:tc>
        <w:tc>
          <w:tcPr>
            <w:tcW w:w="0" w:type="dxa"/>
            <w:vAlign w:val="bottom"/>
          </w:tcPr>
          <w:p>
            <w:pPr>
              <w:spacing w:after="0"/>
              <w:rPr>
                <w:sz w:val="1"/>
                <w:szCs w:val="1"/>
                <w:color w:val="auto"/>
              </w:rPr>
            </w:pPr>
          </w:p>
        </w:tc>
      </w:tr>
      <w:tr>
        <w:trPr>
          <w:trHeight w:val="216"/>
        </w:trPr>
        <w:tc>
          <w:tcPr>
            <w:tcW w:w="6920" w:type="dxa"/>
            <w:vAlign w:val="bottom"/>
          </w:tcPr>
          <w:p>
            <w:pPr>
              <w:spacing w:after="0"/>
              <w:rPr>
                <w:sz w:val="20"/>
                <w:szCs w:val="20"/>
                <w:color w:val="auto"/>
              </w:rPr>
            </w:pPr>
            <w:r>
              <w:rPr>
                <w:rFonts w:ascii="Arial" w:cs="Arial" w:eastAsia="Arial" w:hAnsi="Arial"/>
                <w:sz w:val="18"/>
                <w:szCs w:val="18"/>
                <w:color w:val="auto"/>
              </w:rPr>
              <w:t>Finance lease receivables - non-current, net</w:t>
            </w:r>
          </w:p>
        </w:tc>
        <w:tc>
          <w:tcPr>
            <w:tcW w:w="1240" w:type="dxa"/>
            <w:vAlign w:val="bottom"/>
            <w:gridSpan w:val="2"/>
          </w:tcPr>
          <w:p>
            <w:pPr>
              <w:jc w:val="right"/>
              <w:ind w:right="20"/>
              <w:spacing w:after="0"/>
              <w:rPr>
                <w:sz w:val="20"/>
                <w:szCs w:val="20"/>
                <w:color w:val="auto"/>
              </w:rPr>
            </w:pPr>
            <w:r>
              <w:rPr>
                <w:rFonts w:ascii="Arial" w:cs="Arial" w:eastAsia="Arial" w:hAnsi="Arial"/>
                <w:sz w:val="18"/>
                <w:szCs w:val="18"/>
                <w:color w:val="auto"/>
              </w:rPr>
              <w:t>1,454,499,864</w:t>
            </w:r>
          </w:p>
        </w:tc>
        <w:tc>
          <w:tcPr>
            <w:tcW w:w="20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1,186,837,807</w:t>
            </w:r>
          </w:p>
        </w:tc>
        <w:tc>
          <w:tcPr>
            <w:tcW w:w="1260" w:type="dxa"/>
            <w:vAlign w:val="bottom"/>
            <w:gridSpan w:val="2"/>
          </w:tcPr>
          <w:p>
            <w:pPr>
              <w:jc w:val="right"/>
              <w:ind w:right="120"/>
              <w:spacing w:after="0"/>
              <w:rPr>
                <w:sz w:val="20"/>
                <w:szCs w:val="20"/>
                <w:color w:val="auto"/>
              </w:rPr>
            </w:pPr>
            <w:r>
              <w:rPr>
                <w:rFonts w:ascii="Arial" w:cs="Arial" w:eastAsia="Arial" w:hAnsi="Arial"/>
                <w:sz w:val="18"/>
                <w:szCs w:val="18"/>
                <w:color w:val="auto"/>
              </w:rPr>
              <w:t>183,817,769</w:t>
            </w:r>
          </w:p>
        </w:tc>
        <w:tc>
          <w:tcPr>
            <w:tcW w:w="0" w:type="dxa"/>
            <w:vAlign w:val="bottom"/>
          </w:tcPr>
          <w:p>
            <w:pPr>
              <w:spacing w:after="0"/>
              <w:rPr>
                <w:sz w:val="1"/>
                <w:szCs w:val="1"/>
                <w:color w:val="auto"/>
              </w:rPr>
            </w:pPr>
          </w:p>
        </w:tc>
      </w:tr>
      <w:tr>
        <w:trPr>
          <w:trHeight w:val="216"/>
        </w:trPr>
        <w:tc>
          <w:tcPr>
            <w:tcW w:w="6920" w:type="dxa"/>
            <w:vAlign w:val="bottom"/>
            <w:shd w:val="clear" w:color="auto" w:fill="CCEEFF"/>
          </w:tcPr>
          <w:p>
            <w:pPr>
              <w:spacing w:after="0"/>
              <w:rPr>
                <w:sz w:val="20"/>
                <w:szCs w:val="20"/>
                <w:color w:val="auto"/>
              </w:rPr>
            </w:pPr>
            <w:r>
              <w:rPr>
                <w:rFonts w:ascii="Arial" w:cs="Arial" w:eastAsia="Arial" w:hAnsi="Arial"/>
                <w:sz w:val="18"/>
                <w:szCs w:val="18"/>
                <w:color w:val="auto"/>
              </w:rPr>
              <w:t>Other non-current assets</w:t>
            </w:r>
          </w:p>
        </w:tc>
        <w:tc>
          <w:tcPr>
            <w:tcW w:w="12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261,495,158</w:t>
            </w:r>
          </w:p>
        </w:tc>
        <w:tc>
          <w:tcPr>
            <w:tcW w:w="20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427,327,797</w:t>
            </w: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66,184,648</w:t>
            </w:r>
          </w:p>
        </w:tc>
        <w:tc>
          <w:tcPr>
            <w:tcW w:w="0" w:type="dxa"/>
            <w:vAlign w:val="bottom"/>
          </w:tcPr>
          <w:p>
            <w:pPr>
              <w:spacing w:after="0"/>
              <w:rPr>
                <w:sz w:val="1"/>
                <w:szCs w:val="1"/>
                <w:color w:val="auto"/>
              </w:rPr>
            </w:pPr>
          </w:p>
        </w:tc>
      </w:tr>
      <w:tr>
        <w:trPr>
          <w:trHeight w:val="230"/>
        </w:trPr>
        <w:tc>
          <w:tcPr>
            <w:tcW w:w="6920" w:type="dxa"/>
            <w:vAlign w:val="bottom"/>
          </w:tcPr>
          <w:p>
            <w:pPr>
              <w:spacing w:after="0"/>
              <w:rPr>
                <w:sz w:val="20"/>
                <w:szCs w:val="20"/>
                <w:color w:val="auto"/>
              </w:rPr>
            </w:pPr>
            <w:r>
              <w:rPr>
                <w:rFonts w:ascii="Arial" w:cs="Arial" w:eastAsia="Arial" w:hAnsi="Arial"/>
                <w:sz w:val="18"/>
                <w:szCs w:val="18"/>
                <w:b w:val="1"/>
                <w:bCs w:val="1"/>
                <w:color w:val="auto"/>
              </w:rPr>
              <w:t>Total non-current assets</w:t>
            </w: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3,246,883,053</w:t>
            </w:r>
          </w:p>
        </w:tc>
        <w:tc>
          <w:tcPr>
            <w:tcW w:w="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3,519,717,041</w:t>
            </w:r>
          </w:p>
        </w:tc>
        <w:tc>
          <w:tcPr>
            <w:tcW w:w="200" w:type="dxa"/>
            <w:vAlign w:val="bottom"/>
          </w:tcPr>
          <w:p>
            <w:pPr>
              <w:spacing w:after="0"/>
              <w:rPr>
                <w:sz w:val="20"/>
                <w:szCs w:val="20"/>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545,134,753</w:t>
            </w:r>
          </w:p>
        </w:tc>
        <w:tc>
          <w:tcPr>
            <w:tcW w:w="1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69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ASSETS</w:t>
            </w:r>
          </w:p>
        </w:tc>
        <w:tc>
          <w:tcPr>
            <w:tcW w:w="12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b w:val="1"/>
                <w:bCs w:val="1"/>
                <w:color w:val="auto"/>
                <w:w w:val="95"/>
              </w:rPr>
              <w:t>12,145,932,599</w:t>
            </w:r>
          </w:p>
        </w:tc>
        <w:tc>
          <w:tcPr>
            <w:tcW w:w="20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b w:val="1"/>
                <w:bCs w:val="1"/>
                <w:color w:val="auto"/>
                <w:w w:val="94"/>
              </w:rPr>
              <w:t>11,701,345,664</w:t>
            </w: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w w:val="97"/>
              </w:rPr>
              <w:t>1,812,307,664</w:t>
            </w:r>
          </w:p>
        </w:tc>
        <w:tc>
          <w:tcPr>
            <w:tcW w:w="0" w:type="dxa"/>
            <w:vAlign w:val="bottom"/>
          </w:tcPr>
          <w:p>
            <w:pPr>
              <w:spacing w:after="0"/>
              <w:rPr>
                <w:sz w:val="1"/>
                <w:szCs w:val="1"/>
                <w:color w:val="auto"/>
              </w:rPr>
            </w:pPr>
          </w:p>
        </w:tc>
      </w:tr>
      <w:tr>
        <w:trPr>
          <w:trHeight w:val="20"/>
        </w:trPr>
        <w:tc>
          <w:tcPr>
            <w:tcW w:w="6920" w:type="dxa"/>
            <w:vAlign w:val="bottom"/>
            <w:vMerge w:val="restart"/>
          </w:tcPr>
          <w:p>
            <w:pPr>
              <w:spacing w:after="0"/>
              <w:rPr>
                <w:sz w:val="20"/>
                <w:szCs w:val="20"/>
                <w:color w:val="auto"/>
              </w:rPr>
            </w:pPr>
            <w:r>
              <w:rPr>
                <w:rFonts w:ascii="Arial" w:cs="Arial" w:eastAsia="Arial" w:hAnsi="Arial"/>
                <w:sz w:val="18"/>
                <w:szCs w:val="18"/>
                <w:b w:val="1"/>
                <w:bCs w:val="1"/>
                <w:color w:val="auto"/>
              </w:rPr>
              <w:t>LIABILITIES AND SHAREHOLDERS’ EQUITY</w:t>
            </w:r>
          </w:p>
        </w:tc>
        <w:tc>
          <w:tcPr>
            <w:tcW w:w="122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18"/>
        </w:trPr>
        <w:tc>
          <w:tcPr>
            <w:tcW w:w="6920" w:type="dxa"/>
            <w:vAlign w:val="bottom"/>
            <w:vMerge w:val="continue"/>
          </w:tcPr>
          <w:p>
            <w:pPr>
              <w:spacing w:after="0"/>
              <w:rPr>
                <w:sz w:val="24"/>
                <w:szCs w:val="24"/>
                <w:color w:val="auto"/>
              </w:rPr>
            </w:pPr>
          </w:p>
        </w:tc>
        <w:tc>
          <w:tcPr>
            <w:tcW w:w="12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69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Current liabilities:</w:t>
            </w:r>
          </w:p>
        </w:tc>
        <w:tc>
          <w:tcPr>
            <w:tcW w:w="122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920" w:type="dxa"/>
            <w:vAlign w:val="bottom"/>
          </w:tcPr>
          <w:p>
            <w:pPr>
              <w:spacing w:after="0"/>
              <w:rPr>
                <w:sz w:val="20"/>
                <w:szCs w:val="20"/>
                <w:color w:val="auto"/>
              </w:rPr>
            </w:pPr>
            <w:r>
              <w:rPr>
                <w:rFonts w:ascii="Arial" w:cs="Arial" w:eastAsia="Arial" w:hAnsi="Arial"/>
                <w:sz w:val="18"/>
                <w:szCs w:val="18"/>
                <w:color w:val="auto"/>
              </w:rPr>
              <w:t>Short-term debts</w:t>
            </w:r>
          </w:p>
        </w:tc>
        <w:tc>
          <w:tcPr>
            <w:tcW w:w="1240" w:type="dxa"/>
            <w:vAlign w:val="bottom"/>
            <w:gridSpan w:val="2"/>
          </w:tcPr>
          <w:p>
            <w:pPr>
              <w:jc w:val="right"/>
              <w:ind w:right="20"/>
              <w:spacing w:after="0"/>
              <w:rPr>
                <w:sz w:val="20"/>
                <w:szCs w:val="20"/>
                <w:color w:val="auto"/>
              </w:rPr>
            </w:pPr>
            <w:r>
              <w:rPr>
                <w:rFonts w:ascii="Arial" w:cs="Arial" w:eastAsia="Arial" w:hAnsi="Arial"/>
                <w:sz w:val="18"/>
                <w:szCs w:val="18"/>
                <w:color w:val="auto"/>
              </w:rPr>
              <w:t>355,816,940</w:t>
            </w:r>
          </w:p>
        </w:tc>
        <w:tc>
          <w:tcPr>
            <w:tcW w:w="20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779,104,385</w:t>
            </w:r>
          </w:p>
        </w:tc>
        <w:tc>
          <w:tcPr>
            <w:tcW w:w="1260" w:type="dxa"/>
            <w:vAlign w:val="bottom"/>
            <w:gridSpan w:val="2"/>
          </w:tcPr>
          <w:p>
            <w:pPr>
              <w:jc w:val="right"/>
              <w:ind w:right="120"/>
              <w:spacing w:after="0"/>
              <w:rPr>
                <w:sz w:val="20"/>
                <w:szCs w:val="20"/>
                <w:color w:val="auto"/>
              </w:rPr>
            </w:pPr>
            <w:r>
              <w:rPr>
                <w:rFonts w:ascii="Arial" w:cs="Arial" w:eastAsia="Arial" w:hAnsi="Arial"/>
                <w:sz w:val="18"/>
                <w:szCs w:val="18"/>
                <w:color w:val="auto"/>
              </w:rPr>
              <w:t>120,667,903</w:t>
            </w:r>
          </w:p>
        </w:tc>
        <w:tc>
          <w:tcPr>
            <w:tcW w:w="0" w:type="dxa"/>
            <w:vAlign w:val="bottom"/>
          </w:tcPr>
          <w:p>
            <w:pPr>
              <w:spacing w:after="0"/>
              <w:rPr>
                <w:sz w:val="1"/>
                <w:szCs w:val="1"/>
                <w:color w:val="auto"/>
              </w:rPr>
            </w:pPr>
          </w:p>
        </w:tc>
      </w:tr>
      <w:tr>
        <w:trPr>
          <w:trHeight w:val="216"/>
        </w:trPr>
        <w:tc>
          <w:tcPr>
            <w:tcW w:w="6920" w:type="dxa"/>
            <w:vAlign w:val="bottom"/>
            <w:shd w:val="clear" w:color="auto" w:fill="CCEEFF"/>
          </w:tcPr>
          <w:p>
            <w:pPr>
              <w:spacing w:after="0"/>
              <w:rPr>
                <w:sz w:val="20"/>
                <w:szCs w:val="20"/>
                <w:color w:val="auto"/>
              </w:rPr>
            </w:pPr>
            <w:r>
              <w:rPr>
                <w:rFonts w:ascii="Arial" w:cs="Arial" w:eastAsia="Arial" w:hAnsi="Arial"/>
                <w:sz w:val="18"/>
                <w:szCs w:val="18"/>
                <w:color w:val="auto"/>
              </w:rPr>
              <w:t>Long-term debts—current</w:t>
            </w:r>
          </w:p>
        </w:tc>
        <w:tc>
          <w:tcPr>
            <w:tcW w:w="12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1,228,783,730</w:t>
            </w:r>
          </w:p>
        </w:tc>
        <w:tc>
          <w:tcPr>
            <w:tcW w:w="20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1,122,603,494</w:t>
            </w: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173,869,141</w:t>
            </w:r>
          </w:p>
        </w:tc>
        <w:tc>
          <w:tcPr>
            <w:tcW w:w="0" w:type="dxa"/>
            <w:vAlign w:val="bottom"/>
          </w:tcPr>
          <w:p>
            <w:pPr>
              <w:spacing w:after="0"/>
              <w:rPr>
                <w:sz w:val="1"/>
                <w:szCs w:val="1"/>
                <w:color w:val="auto"/>
              </w:rPr>
            </w:pPr>
          </w:p>
        </w:tc>
      </w:tr>
      <w:tr>
        <w:trPr>
          <w:trHeight w:val="216"/>
        </w:trPr>
        <w:tc>
          <w:tcPr>
            <w:tcW w:w="6920" w:type="dxa"/>
            <w:vAlign w:val="bottom"/>
          </w:tcPr>
          <w:p>
            <w:pPr>
              <w:spacing w:after="0"/>
              <w:rPr>
                <w:sz w:val="20"/>
                <w:szCs w:val="20"/>
                <w:color w:val="auto"/>
              </w:rPr>
            </w:pPr>
            <w:r>
              <w:rPr>
                <w:rFonts w:ascii="Arial" w:cs="Arial" w:eastAsia="Arial" w:hAnsi="Arial"/>
                <w:sz w:val="18"/>
                <w:szCs w:val="18"/>
                <w:color w:val="auto"/>
              </w:rPr>
              <w:t>Accrued expenses and other current liabilities</w:t>
            </w:r>
          </w:p>
        </w:tc>
        <w:tc>
          <w:tcPr>
            <w:tcW w:w="1240" w:type="dxa"/>
            <w:vAlign w:val="bottom"/>
            <w:gridSpan w:val="2"/>
          </w:tcPr>
          <w:p>
            <w:pPr>
              <w:jc w:val="right"/>
              <w:ind w:right="20"/>
              <w:spacing w:after="0"/>
              <w:rPr>
                <w:sz w:val="20"/>
                <w:szCs w:val="20"/>
                <w:color w:val="auto"/>
              </w:rPr>
            </w:pPr>
            <w:r>
              <w:rPr>
                <w:rFonts w:ascii="Arial" w:cs="Arial" w:eastAsia="Arial" w:hAnsi="Arial"/>
                <w:sz w:val="18"/>
                <w:szCs w:val="18"/>
                <w:color w:val="auto"/>
              </w:rPr>
              <w:t>324,734,202</w:t>
            </w:r>
          </w:p>
        </w:tc>
        <w:tc>
          <w:tcPr>
            <w:tcW w:w="20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352,398,112</w:t>
            </w:r>
          </w:p>
        </w:tc>
        <w:tc>
          <w:tcPr>
            <w:tcW w:w="1260" w:type="dxa"/>
            <w:vAlign w:val="bottom"/>
            <w:gridSpan w:val="2"/>
          </w:tcPr>
          <w:p>
            <w:pPr>
              <w:jc w:val="right"/>
              <w:ind w:right="120"/>
              <w:spacing w:after="0"/>
              <w:rPr>
                <w:sz w:val="20"/>
                <w:szCs w:val="20"/>
                <w:color w:val="auto"/>
              </w:rPr>
            </w:pPr>
            <w:r>
              <w:rPr>
                <w:rFonts w:ascii="Arial" w:cs="Arial" w:eastAsia="Arial" w:hAnsi="Arial"/>
                <w:sz w:val="18"/>
                <w:szCs w:val="18"/>
                <w:color w:val="auto"/>
              </w:rPr>
              <w:t>54,579,517</w:t>
            </w:r>
          </w:p>
        </w:tc>
        <w:tc>
          <w:tcPr>
            <w:tcW w:w="0" w:type="dxa"/>
            <w:vAlign w:val="bottom"/>
          </w:tcPr>
          <w:p>
            <w:pPr>
              <w:spacing w:after="0"/>
              <w:rPr>
                <w:sz w:val="1"/>
                <w:szCs w:val="1"/>
                <w:color w:val="auto"/>
              </w:rPr>
            </w:pPr>
          </w:p>
        </w:tc>
      </w:tr>
      <w:tr>
        <w:trPr>
          <w:trHeight w:val="216"/>
        </w:trPr>
        <w:tc>
          <w:tcPr>
            <w:tcW w:w="6920" w:type="dxa"/>
            <w:vAlign w:val="bottom"/>
            <w:shd w:val="clear" w:color="auto" w:fill="CCEEFF"/>
          </w:tcPr>
          <w:p>
            <w:pPr>
              <w:spacing w:after="0"/>
              <w:rPr>
                <w:sz w:val="20"/>
                <w:szCs w:val="20"/>
                <w:color w:val="auto"/>
              </w:rPr>
            </w:pPr>
            <w:r>
              <w:rPr>
                <w:rFonts w:ascii="Arial" w:cs="Arial" w:eastAsia="Arial" w:hAnsi="Arial"/>
                <w:sz w:val="18"/>
                <w:szCs w:val="18"/>
                <w:color w:val="auto"/>
              </w:rPr>
              <w:t>Risk assurance liabilities</w:t>
            </w:r>
          </w:p>
        </w:tc>
        <w:tc>
          <w:tcPr>
            <w:tcW w:w="12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460,829,299</w:t>
            </w:r>
          </w:p>
        </w:tc>
        <w:tc>
          <w:tcPr>
            <w:tcW w:w="20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642,664,973</w:t>
            </w: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99,536,129</w:t>
            </w:r>
          </w:p>
        </w:tc>
        <w:tc>
          <w:tcPr>
            <w:tcW w:w="0" w:type="dxa"/>
            <w:vAlign w:val="bottom"/>
          </w:tcPr>
          <w:p>
            <w:pPr>
              <w:spacing w:after="0"/>
              <w:rPr>
                <w:sz w:val="1"/>
                <w:szCs w:val="1"/>
                <w:color w:val="auto"/>
              </w:rPr>
            </w:pPr>
          </w:p>
        </w:tc>
      </w:tr>
      <w:tr>
        <w:trPr>
          <w:trHeight w:val="223"/>
        </w:trPr>
        <w:tc>
          <w:tcPr>
            <w:tcW w:w="6920" w:type="dxa"/>
            <w:vAlign w:val="bottom"/>
          </w:tcPr>
          <w:p>
            <w:pPr>
              <w:spacing w:after="0"/>
              <w:rPr>
                <w:sz w:val="20"/>
                <w:szCs w:val="20"/>
                <w:color w:val="auto"/>
              </w:rPr>
            </w:pPr>
            <w:r>
              <w:rPr>
                <w:rFonts w:ascii="Arial" w:cs="Arial" w:eastAsia="Arial" w:hAnsi="Arial"/>
                <w:sz w:val="18"/>
                <w:szCs w:val="18"/>
                <w:color w:val="auto"/>
              </w:rPr>
              <w:t>Income tax payable</w:t>
            </w: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87,132,455</w:t>
            </w:r>
          </w:p>
        </w:tc>
        <w:tc>
          <w:tcPr>
            <w:tcW w:w="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388,784,530</w:t>
            </w:r>
          </w:p>
        </w:tc>
        <w:tc>
          <w:tcPr>
            <w:tcW w:w="200" w:type="dxa"/>
            <w:vAlign w:val="bottom"/>
          </w:tcPr>
          <w:p>
            <w:pPr>
              <w:spacing w:after="0"/>
              <w:rPr>
                <w:sz w:val="19"/>
                <w:szCs w:val="19"/>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60,215,056</w:t>
            </w:r>
          </w:p>
        </w:tc>
        <w:tc>
          <w:tcPr>
            <w:tcW w:w="1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6"/>
        </w:trPr>
        <w:tc>
          <w:tcPr>
            <w:tcW w:w="69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current liabilities</w:t>
            </w:r>
          </w:p>
        </w:tc>
        <w:tc>
          <w:tcPr>
            <w:tcW w:w="12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b w:val="1"/>
                <w:bCs w:val="1"/>
                <w:color w:val="auto"/>
              </w:rPr>
              <w:t>2,457,296,626</w:t>
            </w:r>
          </w:p>
        </w:tc>
        <w:tc>
          <w:tcPr>
            <w:tcW w:w="20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b w:val="1"/>
                <w:bCs w:val="1"/>
                <w:color w:val="auto"/>
              </w:rPr>
              <w:t>3,285,555,494</w:t>
            </w: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508,867,747</w:t>
            </w:r>
          </w:p>
        </w:tc>
        <w:tc>
          <w:tcPr>
            <w:tcW w:w="0" w:type="dxa"/>
            <w:vAlign w:val="bottom"/>
          </w:tcPr>
          <w:p>
            <w:pPr>
              <w:spacing w:after="0"/>
              <w:rPr>
                <w:sz w:val="1"/>
                <w:szCs w:val="1"/>
                <w:color w:val="auto"/>
              </w:rPr>
            </w:pPr>
          </w:p>
        </w:tc>
      </w:tr>
      <w:tr>
        <w:trPr>
          <w:trHeight w:val="331"/>
        </w:trPr>
        <w:tc>
          <w:tcPr>
            <w:tcW w:w="6920" w:type="dxa"/>
            <w:vAlign w:val="bottom"/>
          </w:tcPr>
          <w:p>
            <w:pPr>
              <w:spacing w:after="0"/>
              <w:rPr>
                <w:sz w:val="20"/>
                <w:szCs w:val="20"/>
                <w:color w:val="auto"/>
              </w:rPr>
            </w:pPr>
            <w:r>
              <w:rPr>
                <w:rFonts w:ascii="Arial" w:cs="Arial" w:eastAsia="Arial" w:hAnsi="Arial"/>
                <w:sz w:val="18"/>
                <w:szCs w:val="18"/>
                <w:b w:val="1"/>
                <w:bCs w:val="1"/>
                <w:color w:val="auto"/>
              </w:rPr>
              <w:t>Non-current liabilities:</w:t>
            </w:r>
          </w:p>
        </w:tc>
        <w:tc>
          <w:tcPr>
            <w:tcW w:w="1220" w:type="dxa"/>
            <w:vAlign w:val="bottom"/>
            <w:tcBorders>
              <w:top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0" w:type="dxa"/>
            <w:vAlign w:val="bottom"/>
            <w:tcBorders>
              <w:top w:val="single" w:sz="8" w:color="auto"/>
            </w:tcBorders>
          </w:tcPr>
          <w:p>
            <w:pPr>
              <w:spacing w:after="0"/>
              <w:rPr>
                <w:sz w:val="24"/>
                <w:szCs w:val="24"/>
                <w:color w:val="auto"/>
              </w:rPr>
            </w:pPr>
          </w:p>
        </w:tc>
        <w:tc>
          <w:tcPr>
            <w:tcW w:w="200" w:type="dxa"/>
            <w:vAlign w:val="bottom"/>
          </w:tcPr>
          <w:p>
            <w:pPr>
              <w:spacing w:after="0"/>
              <w:rPr>
                <w:sz w:val="24"/>
                <w:szCs w:val="24"/>
                <w:color w:val="auto"/>
              </w:rPr>
            </w:pPr>
          </w:p>
        </w:tc>
        <w:tc>
          <w:tcPr>
            <w:tcW w:w="1140" w:type="dxa"/>
            <w:vAlign w:val="bottom"/>
            <w:tcBorders>
              <w:top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6920" w:type="dxa"/>
            <w:vAlign w:val="bottom"/>
            <w:shd w:val="clear" w:color="auto" w:fill="CCEEFF"/>
          </w:tcPr>
          <w:p>
            <w:pPr>
              <w:spacing w:after="0"/>
              <w:rPr>
                <w:sz w:val="20"/>
                <w:szCs w:val="20"/>
                <w:color w:val="auto"/>
              </w:rPr>
            </w:pPr>
            <w:r>
              <w:rPr>
                <w:rFonts w:ascii="Arial" w:cs="Arial" w:eastAsia="Arial" w:hAnsi="Arial"/>
                <w:sz w:val="18"/>
                <w:szCs w:val="18"/>
                <w:color w:val="auto"/>
              </w:rPr>
              <w:t>Long-term debts</w:t>
            </w:r>
          </w:p>
        </w:tc>
        <w:tc>
          <w:tcPr>
            <w:tcW w:w="12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977,791,191</w:t>
            </w:r>
          </w:p>
        </w:tc>
        <w:tc>
          <w:tcPr>
            <w:tcW w:w="20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836,810,348</w:t>
            </w: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129,605,419</w:t>
            </w:r>
          </w:p>
        </w:tc>
        <w:tc>
          <w:tcPr>
            <w:tcW w:w="0" w:type="dxa"/>
            <w:vAlign w:val="bottom"/>
          </w:tcPr>
          <w:p>
            <w:pPr>
              <w:spacing w:after="0"/>
              <w:rPr>
                <w:sz w:val="1"/>
                <w:szCs w:val="1"/>
                <w:color w:val="auto"/>
              </w:rPr>
            </w:pPr>
          </w:p>
        </w:tc>
      </w:tr>
      <w:tr>
        <w:trPr>
          <w:trHeight w:val="216"/>
        </w:trPr>
        <w:tc>
          <w:tcPr>
            <w:tcW w:w="6920" w:type="dxa"/>
            <w:vAlign w:val="bottom"/>
          </w:tcPr>
          <w:p>
            <w:pPr>
              <w:spacing w:after="0"/>
              <w:rPr>
                <w:sz w:val="20"/>
                <w:szCs w:val="20"/>
                <w:color w:val="auto"/>
              </w:rPr>
            </w:pPr>
            <w:r>
              <w:rPr>
                <w:rFonts w:ascii="Arial" w:cs="Arial" w:eastAsia="Arial" w:hAnsi="Arial"/>
                <w:sz w:val="18"/>
                <w:szCs w:val="18"/>
                <w:color w:val="auto"/>
              </w:rPr>
              <w:t>Deferred tax liability</w:t>
            </w:r>
          </w:p>
        </w:tc>
        <w:tc>
          <w:tcPr>
            <w:tcW w:w="1240" w:type="dxa"/>
            <w:vAlign w:val="bottom"/>
            <w:gridSpan w:val="2"/>
          </w:tcPr>
          <w:p>
            <w:pPr>
              <w:jc w:val="right"/>
              <w:ind w:right="20"/>
              <w:spacing w:after="0"/>
              <w:rPr>
                <w:sz w:val="20"/>
                <w:szCs w:val="20"/>
                <w:color w:val="auto"/>
              </w:rPr>
            </w:pPr>
            <w:r>
              <w:rPr>
                <w:rFonts w:ascii="Arial" w:cs="Arial" w:eastAsia="Arial" w:hAnsi="Arial"/>
                <w:sz w:val="18"/>
                <w:szCs w:val="18"/>
                <w:color w:val="auto"/>
              </w:rPr>
              <w:t>330,765,029</w:t>
            </w:r>
          </w:p>
        </w:tc>
        <w:tc>
          <w:tcPr>
            <w:tcW w:w="200" w:type="dxa"/>
            <w:vAlign w:val="bottom"/>
          </w:tcPr>
          <w:p>
            <w:pPr>
              <w:spacing w:after="0"/>
              <w:rPr>
                <w:sz w:val="18"/>
                <w:szCs w:val="18"/>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color w:val="auto"/>
              </w:rPr>
              <w:t>171,705,298</w:t>
            </w:r>
          </w:p>
        </w:tc>
        <w:tc>
          <w:tcPr>
            <w:tcW w:w="1260" w:type="dxa"/>
            <w:vAlign w:val="bottom"/>
            <w:gridSpan w:val="2"/>
          </w:tcPr>
          <w:p>
            <w:pPr>
              <w:jc w:val="right"/>
              <w:ind w:right="120"/>
              <w:spacing w:after="0"/>
              <w:rPr>
                <w:sz w:val="20"/>
                <w:szCs w:val="20"/>
                <w:color w:val="auto"/>
              </w:rPr>
            </w:pPr>
            <w:r>
              <w:rPr>
                <w:rFonts w:ascii="Arial" w:cs="Arial" w:eastAsia="Arial" w:hAnsi="Arial"/>
                <w:sz w:val="18"/>
                <w:szCs w:val="18"/>
                <w:color w:val="auto"/>
              </w:rPr>
              <w:t>26,593,764</w:t>
            </w:r>
          </w:p>
        </w:tc>
        <w:tc>
          <w:tcPr>
            <w:tcW w:w="0" w:type="dxa"/>
            <w:vAlign w:val="bottom"/>
          </w:tcPr>
          <w:p>
            <w:pPr>
              <w:spacing w:after="0"/>
              <w:rPr>
                <w:sz w:val="1"/>
                <w:szCs w:val="1"/>
                <w:color w:val="auto"/>
              </w:rPr>
            </w:pPr>
          </w:p>
        </w:tc>
      </w:tr>
      <w:tr>
        <w:trPr>
          <w:trHeight w:val="216"/>
        </w:trPr>
        <w:tc>
          <w:tcPr>
            <w:tcW w:w="6920" w:type="dxa"/>
            <w:vAlign w:val="bottom"/>
            <w:shd w:val="clear" w:color="auto" w:fill="CCEEFF"/>
          </w:tcPr>
          <w:p>
            <w:pPr>
              <w:spacing w:after="0"/>
              <w:rPr>
                <w:sz w:val="20"/>
                <w:szCs w:val="20"/>
                <w:color w:val="auto"/>
              </w:rPr>
            </w:pPr>
            <w:r>
              <w:rPr>
                <w:rFonts w:ascii="Arial" w:cs="Arial" w:eastAsia="Arial" w:hAnsi="Arial"/>
                <w:sz w:val="18"/>
                <w:szCs w:val="18"/>
                <w:color w:val="auto"/>
              </w:rPr>
              <w:t>Other non-current liabilities</w:t>
            </w:r>
          </w:p>
        </w:tc>
        <w:tc>
          <w:tcPr>
            <w:tcW w:w="12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4,870,616</w:t>
            </w:r>
          </w:p>
        </w:tc>
        <w:tc>
          <w:tcPr>
            <w:tcW w:w="20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2,479,512</w:t>
            </w: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384,028</w:t>
            </w:r>
          </w:p>
        </w:tc>
        <w:tc>
          <w:tcPr>
            <w:tcW w:w="0" w:type="dxa"/>
            <w:vAlign w:val="bottom"/>
          </w:tcPr>
          <w:p>
            <w:pPr>
              <w:spacing w:after="0"/>
              <w:rPr>
                <w:sz w:val="1"/>
                <w:szCs w:val="1"/>
                <w:color w:val="auto"/>
              </w:rPr>
            </w:pPr>
          </w:p>
        </w:tc>
      </w:tr>
      <w:tr>
        <w:trPr>
          <w:trHeight w:val="230"/>
        </w:trPr>
        <w:tc>
          <w:tcPr>
            <w:tcW w:w="6920" w:type="dxa"/>
            <w:vAlign w:val="bottom"/>
          </w:tcPr>
          <w:p>
            <w:pPr>
              <w:spacing w:after="0"/>
              <w:rPr>
                <w:sz w:val="20"/>
                <w:szCs w:val="20"/>
                <w:color w:val="auto"/>
              </w:rPr>
            </w:pPr>
            <w:r>
              <w:rPr>
                <w:rFonts w:ascii="Arial" w:cs="Arial" w:eastAsia="Arial" w:hAnsi="Arial"/>
                <w:sz w:val="18"/>
                <w:szCs w:val="18"/>
                <w:b w:val="1"/>
                <w:bCs w:val="1"/>
                <w:color w:val="auto"/>
              </w:rPr>
              <w:t>Total non-current liabilities</w:t>
            </w: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1,313,426,836</w:t>
            </w:r>
          </w:p>
        </w:tc>
        <w:tc>
          <w:tcPr>
            <w:tcW w:w="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1,010,995,158</w:t>
            </w:r>
          </w:p>
        </w:tc>
        <w:tc>
          <w:tcPr>
            <w:tcW w:w="200" w:type="dxa"/>
            <w:vAlign w:val="bottom"/>
          </w:tcPr>
          <w:p>
            <w:pPr>
              <w:spacing w:after="0"/>
              <w:rPr>
                <w:sz w:val="20"/>
                <w:szCs w:val="20"/>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156,583,211</w:t>
            </w:r>
          </w:p>
        </w:tc>
        <w:tc>
          <w:tcPr>
            <w:tcW w:w="1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69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liabilities</w:t>
            </w:r>
          </w:p>
        </w:tc>
        <w:tc>
          <w:tcPr>
            <w:tcW w:w="12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b w:val="1"/>
                <w:bCs w:val="1"/>
                <w:color w:val="auto"/>
              </w:rPr>
              <w:t>3,770,723,462</w:t>
            </w:r>
          </w:p>
        </w:tc>
        <w:tc>
          <w:tcPr>
            <w:tcW w:w="20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b w:val="1"/>
                <w:bCs w:val="1"/>
                <w:color w:val="auto"/>
              </w:rPr>
              <w:t>4,296,550,652</w:t>
            </w: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665,450,957</w:t>
            </w:r>
          </w:p>
        </w:tc>
        <w:tc>
          <w:tcPr>
            <w:tcW w:w="0" w:type="dxa"/>
            <w:vAlign w:val="bottom"/>
          </w:tcPr>
          <w:p>
            <w:pPr>
              <w:spacing w:after="0"/>
              <w:rPr>
                <w:sz w:val="1"/>
                <w:szCs w:val="1"/>
                <w:color w:val="auto"/>
              </w:rPr>
            </w:pPr>
          </w:p>
        </w:tc>
      </w:tr>
      <w:tr>
        <w:trPr>
          <w:trHeight w:val="331"/>
        </w:trPr>
        <w:tc>
          <w:tcPr>
            <w:tcW w:w="6920" w:type="dxa"/>
            <w:vAlign w:val="bottom"/>
          </w:tcPr>
          <w:p>
            <w:pPr>
              <w:spacing w:after="0"/>
              <w:rPr>
                <w:sz w:val="20"/>
                <w:szCs w:val="20"/>
                <w:color w:val="auto"/>
              </w:rPr>
            </w:pPr>
            <w:r>
              <w:rPr>
                <w:rFonts w:ascii="Arial" w:cs="Arial" w:eastAsia="Arial" w:hAnsi="Arial"/>
                <w:sz w:val="18"/>
                <w:szCs w:val="18"/>
                <w:b w:val="1"/>
                <w:bCs w:val="1"/>
                <w:color w:val="auto"/>
              </w:rPr>
              <w:t>Shareholders’ equity</w:t>
            </w:r>
          </w:p>
        </w:tc>
        <w:tc>
          <w:tcPr>
            <w:tcW w:w="1220" w:type="dxa"/>
            <w:vAlign w:val="bottom"/>
            <w:tcBorders>
              <w:top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0" w:type="dxa"/>
            <w:vAlign w:val="bottom"/>
            <w:tcBorders>
              <w:top w:val="single" w:sz="8" w:color="auto"/>
            </w:tcBorders>
          </w:tcPr>
          <w:p>
            <w:pPr>
              <w:spacing w:after="0"/>
              <w:rPr>
                <w:sz w:val="24"/>
                <w:szCs w:val="24"/>
                <w:color w:val="auto"/>
              </w:rPr>
            </w:pPr>
          </w:p>
        </w:tc>
        <w:tc>
          <w:tcPr>
            <w:tcW w:w="200" w:type="dxa"/>
            <w:vAlign w:val="bottom"/>
          </w:tcPr>
          <w:p>
            <w:pPr>
              <w:spacing w:after="0"/>
              <w:rPr>
                <w:sz w:val="24"/>
                <w:szCs w:val="24"/>
                <w:color w:val="auto"/>
              </w:rPr>
            </w:pPr>
          </w:p>
        </w:tc>
        <w:tc>
          <w:tcPr>
            <w:tcW w:w="1140" w:type="dxa"/>
            <w:vAlign w:val="bottom"/>
            <w:tcBorders>
              <w:top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6920" w:type="dxa"/>
            <w:vAlign w:val="bottom"/>
            <w:shd w:val="clear" w:color="auto" w:fill="CCEEFF"/>
          </w:tcPr>
          <w:p>
            <w:pPr>
              <w:spacing w:after="0"/>
              <w:rPr>
                <w:sz w:val="20"/>
                <w:szCs w:val="20"/>
                <w:color w:val="auto"/>
              </w:rPr>
            </w:pPr>
            <w:r>
              <w:rPr>
                <w:rFonts w:ascii="Arial" w:cs="Arial" w:eastAsia="Arial" w:hAnsi="Arial"/>
                <w:sz w:val="18"/>
                <w:szCs w:val="18"/>
                <w:color w:val="auto"/>
              </w:rPr>
              <w:t>Ordinary shares</w:t>
            </w:r>
          </w:p>
        </w:tc>
        <w:tc>
          <w:tcPr>
            <w:tcW w:w="12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204,260</w:t>
            </w:r>
          </w:p>
        </w:tc>
        <w:tc>
          <w:tcPr>
            <w:tcW w:w="20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204,260</w:t>
            </w: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31,636</w:t>
            </w:r>
          </w:p>
        </w:tc>
        <w:tc>
          <w:tcPr>
            <w:tcW w:w="0" w:type="dxa"/>
            <w:vAlign w:val="bottom"/>
          </w:tcPr>
          <w:p>
            <w:pPr>
              <w:spacing w:after="0"/>
              <w:rPr>
                <w:sz w:val="1"/>
                <w:szCs w:val="1"/>
                <w:color w:val="auto"/>
              </w:rPr>
            </w:pPr>
          </w:p>
        </w:tc>
      </w:tr>
      <w:tr>
        <w:trPr>
          <w:trHeight w:val="216"/>
        </w:trPr>
        <w:tc>
          <w:tcPr>
            <w:tcW w:w="6920" w:type="dxa"/>
            <w:vAlign w:val="bottom"/>
          </w:tcPr>
          <w:p>
            <w:pPr>
              <w:spacing w:after="0"/>
              <w:rPr>
                <w:sz w:val="20"/>
                <w:szCs w:val="20"/>
                <w:color w:val="auto"/>
              </w:rPr>
            </w:pPr>
            <w:r>
              <w:rPr>
                <w:rFonts w:ascii="Arial" w:cs="Arial" w:eastAsia="Arial" w:hAnsi="Arial"/>
                <w:sz w:val="18"/>
                <w:szCs w:val="18"/>
                <w:color w:val="auto"/>
              </w:rPr>
              <w:t>Treasury shares</w:t>
            </w:r>
          </w:p>
        </w:tc>
        <w:tc>
          <w:tcPr>
            <w:tcW w:w="1440" w:type="dxa"/>
            <w:vAlign w:val="bottom"/>
            <w:gridSpan w:val="3"/>
          </w:tcPr>
          <w:p>
            <w:pPr>
              <w:jc w:val="right"/>
              <w:ind w:right="160"/>
              <w:spacing w:after="0"/>
              <w:rPr>
                <w:sz w:val="20"/>
                <w:szCs w:val="20"/>
                <w:color w:val="auto"/>
              </w:rPr>
            </w:pPr>
            <w:r>
              <w:rPr>
                <w:rFonts w:ascii="Arial" w:cs="Arial" w:eastAsia="Arial" w:hAnsi="Arial"/>
                <w:sz w:val="18"/>
                <w:szCs w:val="18"/>
                <w:color w:val="auto"/>
              </w:rPr>
              <w:t>(56,419,225)</w:t>
            </w:r>
          </w:p>
        </w:tc>
        <w:tc>
          <w:tcPr>
            <w:tcW w:w="1400" w:type="dxa"/>
            <w:vAlign w:val="bottom"/>
            <w:gridSpan w:val="2"/>
          </w:tcPr>
          <w:p>
            <w:pPr>
              <w:jc w:val="right"/>
              <w:ind w:right="140"/>
              <w:spacing w:after="0"/>
              <w:rPr>
                <w:sz w:val="20"/>
                <w:szCs w:val="20"/>
                <w:color w:val="auto"/>
              </w:rPr>
            </w:pPr>
            <w:r>
              <w:rPr>
                <w:rFonts w:ascii="Arial" w:cs="Arial" w:eastAsia="Arial" w:hAnsi="Arial"/>
                <w:sz w:val="18"/>
                <w:szCs w:val="18"/>
                <w:color w:val="auto"/>
              </w:rPr>
              <w:t>(356,910,505)</w:t>
            </w:r>
          </w:p>
        </w:tc>
        <w:tc>
          <w:tcPr>
            <w:tcW w:w="1260" w:type="dxa"/>
            <w:vAlign w:val="bottom"/>
            <w:gridSpan w:val="2"/>
          </w:tcPr>
          <w:p>
            <w:pPr>
              <w:jc w:val="right"/>
              <w:ind w:right="60"/>
              <w:spacing w:after="0"/>
              <w:rPr>
                <w:sz w:val="20"/>
                <w:szCs w:val="20"/>
                <w:color w:val="auto"/>
              </w:rPr>
            </w:pPr>
            <w:r>
              <w:rPr>
                <w:rFonts w:ascii="Arial" w:cs="Arial" w:eastAsia="Arial" w:hAnsi="Arial"/>
                <w:sz w:val="18"/>
                <w:szCs w:val="18"/>
                <w:color w:val="auto"/>
              </w:rPr>
              <w:t>(55,278,398)</w:t>
            </w:r>
          </w:p>
        </w:tc>
        <w:tc>
          <w:tcPr>
            <w:tcW w:w="0" w:type="dxa"/>
            <w:vAlign w:val="bottom"/>
          </w:tcPr>
          <w:p>
            <w:pPr>
              <w:spacing w:after="0"/>
              <w:rPr>
                <w:sz w:val="1"/>
                <w:szCs w:val="1"/>
                <w:color w:val="auto"/>
              </w:rPr>
            </w:pPr>
          </w:p>
        </w:tc>
      </w:tr>
      <w:tr>
        <w:trPr>
          <w:trHeight w:val="216"/>
        </w:trPr>
        <w:tc>
          <w:tcPr>
            <w:tcW w:w="6920" w:type="dxa"/>
            <w:vAlign w:val="bottom"/>
            <w:shd w:val="clear" w:color="auto" w:fill="CCEEFF"/>
          </w:tcPr>
          <w:p>
            <w:pPr>
              <w:spacing w:after="0"/>
              <w:rPr>
                <w:sz w:val="20"/>
                <w:szCs w:val="20"/>
                <w:color w:val="auto"/>
              </w:rPr>
            </w:pPr>
            <w:r>
              <w:rPr>
                <w:rFonts w:ascii="Arial" w:cs="Arial" w:eastAsia="Arial" w:hAnsi="Arial"/>
                <w:sz w:val="18"/>
                <w:szCs w:val="18"/>
                <w:color w:val="auto"/>
              </w:rPr>
              <w:t>Additional paid-in capital</w:t>
            </w:r>
          </w:p>
        </w:tc>
        <w:tc>
          <w:tcPr>
            <w:tcW w:w="12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4,591,455,557</w:t>
            </w:r>
          </w:p>
        </w:tc>
        <w:tc>
          <w:tcPr>
            <w:tcW w:w="20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4,624,962,530</w:t>
            </w: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716,315,480</w:t>
            </w:r>
          </w:p>
        </w:tc>
        <w:tc>
          <w:tcPr>
            <w:tcW w:w="0" w:type="dxa"/>
            <w:vAlign w:val="bottom"/>
          </w:tcPr>
          <w:p>
            <w:pPr>
              <w:spacing w:after="0"/>
              <w:rPr>
                <w:sz w:val="1"/>
                <w:szCs w:val="1"/>
                <w:color w:val="auto"/>
              </w:rPr>
            </w:pPr>
          </w:p>
        </w:tc>
      </w:tr>
      <w:tr>
        <w:trPr>
          <w:trHeight w:val="216"/>
        </w:trPr>
        <w:tc>
          <w:tcPr>
            <w:tcW w:w="6920" w:type="dxa"/>
            <w:vAlign w:val="bottom"/>
          </w:tcPr>
          <w:p>
            <w:pPr>
              <w:spacing w:after="0"/>
              <w:rPr>
                <w:sz w:val="20"/>
                <w:szCs w:val="20"/>
                <w:color w:val="auto"/>
              </w:rPr>
            </w:pPr>
            <w:r>
              <w:rPr>
                <w:rFonts w:ascii="Arial" w:cs="Arial" w:eastAsia="Arial" w:hAnsi="Arial"/>
                <w:sz w:val="18"/>
                <w:szCs w:val="18"/>
                <w:color w:val="auto"/>
              </w:rPr>
              <w:t>Accumulated other comprehensive income</w:t>
            </w:r>
          </w:p>
        </w:tc>
        <w:tc>
          <w:tcPr>
            <w:tcW w:w="1440" w:type="dxa"/>
            <w:vAlign w:val="bottom"/>
            <w:gridSpan w:val="3"/>
          </w:tcPr>
          <w:p>
            <w:pPr>
              <w:jc w:val="right"/>
              <w:ind w:right="160"/>
              <w:spacing w:after="0"/>
              <w:rPr>
                <w:sz w:val="20"/>
                <w:szCs w:val="20"/>
                <w:color w:val="auto"/>
              </w:rPr>
            </w:pPr>
            <w:r>
              <w:rPr>
                <w:rFonts w:ascii="Arial" w:cs="Arial" w:eastAsia="Arial" w:hAnsi="Arial"/>
                <w:sz w:val="18"/>
                <w:szCs w:val="18"/>
                <w:color w:val="auto"/>
              </w:rPr>
              <w:t>(115,386,427)</w:t>
            </w:r>
          </w:p>
        </w:tc>
        <w:tc>
          <w:tcPr>
            <w:tcW w:w="1400" w:type="dxa"/>
            <w:vAlign w:val="bottom"/>
            <w:gridSpan w:val="2"/>
          </w:tcPr>
          <w:p>
            <w:pPr>
              <w:jc w:val="right"/>
              <w:ind w:right="140"/>
              <w:spacing w:after="0"/>
              <w:rPr>
                <w:sz w:val="20"/>
                <w:szCs w:val="20"/>
                <w:color w:val="auto"/>
              </w:rPr>
            </w:pPr>
            <w:r>
              <w:rPr>
                <w:rFonts w:ascii="Arial" w:cs="Arial" w:eastAsia="Arial" w:hAnsi="Arial"/>
                <w:sz w:val="18"/>
                <w:szCs w:val="18"/>
                <w:color w:val="auto"/>
              </w:rPr>
              <w:t>(147,245,016)</w:t>
            </w:r>
          </w:p>
        </w:tc>
        <w:tc>
          <w:tcPr>
            <w:tcW w:w="1260" w:type="dxa"/>
            <w:vAlign w:val="bottom"/>
            <w:gridSpan w:val="2"/>
          </w:tcPr>
          <w:p>
            <w:pPr>
              <w:jc w:val="right"/>
              <w:ind w:right="60"/>
              <w:spacing w:after="0"/>
              <w:rPr>
                <w:sz w:val="20"/>
                <w:szCs w:val="20"/>
                <w:color w:val="auto"/>
              </w:rPr>
            </w:pPr>
            <w:r>
              <w:rPr>
                <w:rFonts w:ascii="Arial" w:cs="Arial" w:eastAsia="Arial" w:hAnsi="Arial"/>
                <w:sz w:val="18"/>
                <w:szCs w:val="18"/>
                <w:color w:val="auto"/>
              </w:rPr>
              <w:t>(22,805,349)</w:t>
            </w:r>
          </w:p>
        </w:tc>
        <w:tc>
          <w:tcPr>
            <w:tcW w:w="0" w:type="dxa"/>
            <w:vAlign w:val="bottom"/>
          </w:tcPr>
          <w:p>
            <w:pPr>
              <w:spacing w:after="0"/>
              <w:rPr>
                <w:sz w:val="1"/>
                <w:szCs w:val="1"/>
                <w:color w:val="auto"/>
              </w:rPr>
            </w:pPr>
          </w:p>
        </w:tc>
      </w:tr>
      <w:tr>
        <w:trPr>
          <w:trHeight w:val="216"/>
        </w:trPr>
        <w:tc>
          <w:tcPr>
            <w:tcW w:w="6920" w:type="dxa"/>
            <w:vAlign w:val="bottom"/>
            <w:shd w:val="clear" w:color="auto" w:fill="CCEEFF"/>
          </w:tcPr>
          <w:p>
            <w:pPr>
              <w:spacing w:after="0"/>
              <w:rPr>
                <w:sz w:val="20"/>
                <w:szCs w:val="20"/>
                <w:color w:val="auto"/>
              </w:rPr>
            </w:pPr>
            <w:r>
              <w:rPr>
                <w:rFonts w:ascii="Arial" w:cs="Arial" w:eastAsia="Arial" w:hAnsi="Arial"/>
                <w:sz w:val="18"/>
                <w:szCs w:val="18"/>
                <w:color w:val="auto"/>
              </w:rPr>
              <w:t>Retained earnings</w:t>
            </w:r>
          </w:p>
        </w:tc>
        <w:tc>
          <w:tcPr>
            <w:tcW w:w="12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3,955,354,972</w:t>
            </w:r>
          </w:p>
        </w:tc>
        <w:tc>
          <w:tcPr>
            <w:tcW w:w="20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3,283,783,743</w:t>
            </w: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508,593,338</w:t>
            </w:r>
          </w:p>
        </w:tc>
        <w:tc>
          <w:tcPr>
            <w:tcW w:w="0" w:type="dxa"/>
            <w:vAlign w:val="bottom"/>
          </w:tcPr>
          <w:p>
            <w:pPr>
              <w:spacing w:after="0"/>
              <w:rPr>
                <w:sz w:val="1"/>
                <w:szCs w:val="1"/>
                <w:color w:val="auto"/>
              </w:rPr>
            </w:pPr>
          </w:p>
        </w:tc>
      </w:tr>
      <w:tr>
        <w:trPr>
          <w:trHeight w:val="230"/>
        </w:trPr>
        <w:tc>
          <w:tcPr>
            <w:tcW w:w="6920" w:type="dxa"/>
            <w:vAlign w:val="bottom"/>
          </w:tcPr>
          <w:p>
            <w:pPr>
              <w:spacing w:after="0"/>
              <w:rPr>
                <w:sz w:val="20"/>
                <w:szCs w:val="20"/>
                <w:color w:val="auto"/>
              </w:rPr>
            </w:pPr>
            <w:r>
              <w:rPr>
                <w:rFonts w:ascii="Arial" w:cs="Arial" w:eastAsia="Arial" w:hAnsi="Arial"/>
                <w:sz w:val="18"/>
                <w:szCs w:val="18"/>
                <w:b w:val="1"/>
                <w:bCs w:val="1"/>
                <w:color w:val="auto"/>
              </w:rPr>
              <w:t>Total Cango Inc.’s equity</w:t>
            </w:r>
          </w:p>
        </w:tc>
        <w:tc>
          <w:tcPr>
            <w:tcW w:w="12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8,375,209,137</w:t>
            </w:r>
          </w:p>
        </w:tc>
        <w:tc>
          <w:tcPr>
            <w:tcW w:w="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7,404,795,012</w:t>
            </w:r>
          </w:p>
        </w:tc>
        <w:tc>
          <w:tcPr>
            <w:tcW w:w="200" w:type="dxa"/>
            <w:vAlign w:val="bottom"/>
          </w:tcPr>
          <w:p>
            <w:pPr>
              <w:spacing w:after="0"/>
              <w:rPr>
                <w:sz w:val="20"/>
                <w:szCs w:val="20"/>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7"/>
              </w:rPr>
              <w:t>1,146,856,707</w:t>
            </w:r>
          </w:p>
        </w:tc>
        <w:tc>
          <w:tcPr>
            <w:tcW w:w="1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69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shareholders’ equity</w:t>
            </w:r>
          </w:p>
        </w:tc>
        <w:tc>
          <w:tcPr>
            <w:tcW w:w="1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8,375,209,137</w:t>
            </w:r>
          </w:p>
        </w:tc>
        <w:tc>
          <w:tcPr>
            <w:tcW w:w="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7,404,795,012</w:t>
            </w:r>
          </w:p>
        </w:tc>
        <w:tc>
          <w:tcPr>
            <w:tcW w:w="200" w:type="dxa"/>
            <w:vAlign w:val="bottom"/>
            <w:shd w:val="clear" w:color="auto" w:fill="CCEEFF"/>
          </w:tcPr>
          <w:p>
            <w:pPr>
              <w:spacing w:after="0"/>
              <w:rPr>
                <w:sz w:val="18"/>
                <w:szCs w:val="18"/>
                <w:color w:val="auto"/>
              </w:rPr>
            </w:pPr>
          </w:p>
        </w:tc>
        <w:tc>
          <w:tcPr>
            <w:tcW w:w="1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7"/>
              </w:rPr>
              <w:t>1,146,856,707</w:t>
            </w: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331"/>
        </w:trPr>
        <w:tc>
          <w:tcPr>
            <w:tcW w:w="6920" w:type="dxa"/>
            <w:vAlign w:val="bottom"/>
          </w:tcPr>
          <w:p>
            <w:pPr>
              <w:spacing w:after="0"/>
              <w:rPr>
                <w:sz w:val="20"/>
                <w:szCs w:val="20"/>
                <w:color w:val="auto"/>
              </w:rPr>
            </w:pPr>
            <w:r>
              <w:rPr>
                <w:rFonts w:ascii="Arial" w:cs="Arial" w:eastAsia="Arial" w:hAnsi="Arial"/>
                <w:sz w:val="18"/>
                <w:szCs w:val="18"/>
                <w:b w:val="1"/>
                <w:bCs w:val="1"/>
                <w:color w:val="auto"/>
              </w:rPr>
              <w:t>TOTAL LIABILITIES AND SHAREHOLDERS’ EQUITY</w:t>
            </w:r>
          </w:p>
        </w:tc>
        <w:tc>
          <w:tcPr>
            <w:tcW w:w="1240" w:type="dxa"/>
            <w:vAlign w:val="bottom"/>
            <w:gridSpan w:val="2"/>
          </w:tcPr>
          <w:p>
            <w:pPr>
              <w:jc w:val="right"/>
              <w:ind w:right="20"/>
              <w:spacing w:after="0"/>
              <w:rPr>
                <w:sz w:val="20"/>
                <w:szCs w:val="20"/>
                <w:color w:val="auto"/>
              </w:rPr>
            </w:pPr>
            <w:r>
              <w:rPr>
                <w:rFonts w:ascii="Arial" w:cs="Arial" w:eastAsia="Arial" w:hAnsi="Arial"/>
                <w:sz w:val="18"/>
                <w:szCs w:val="18"/>
                <w:b w:val="1"/>
                <w:bCs w:val="1"/>
                <w:color w:val="auto"/>
                <w:w w:val="95"/>
              </w:rPr>
              <w:t>12,145,932,599</w:t>
            </w:r>
          </w:p>
        </w:tc>
        <w:tc>
          <w:tcPr>
            <w:tcW w:w="200" w:type="dxa"/>
            <w:vAlign w:val="bottom"/>
          </w:tcPr>
          <w:p>
            <w:pPr>
              <w:spacing w:after="0"/>
              <w:rPr>
                <w:sz w:val="24"/>
                <w:szCs w:val="24"/>
                <w:color w:val="auto"/>
              </w:rPr>
            </w:pPr>
          </w:p>
        </w:tc>
        <w:tc>
          <w:tcPr>
            <w:tcW w:w="140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w w:val="94"/>
              </w:rPr>
              <w:t>11,701,345,664</w:t>
            </w:r>
          </w:p>
        </w:tc>
        <w:tc>
          <w:tcPr>
            <w:tcW w:w="126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w w:val="97"/>
              </w:rPr>
              <w:t>1,812,307,664</w:t>
            </w:r>
          </w:p>
        </w:tc>
        <w:tc>
          <w:tcPr>
            <w:tcW w:w="0" w:type="dxa"/>
            <w:vAlign w:val="bottom"/>
          </w:tcPr>
          <w:p>
            <w:pPr>
              <w:spacing w:after="0"/>
              <w:rPr>
                <w:sz w:val="1"/>
                <w:szCs w:val="1"/>
                <w:color w:val="auto"/>
              </w:rPr>
            </w:pPr>
          </w:p>
        </w:tc>
      </w:tr>
      <w:tr>
        <w:trPr>
          <w:trHeight w:val="20"/>
        </w:trPr>
        <w:tc>
          <w:tcPr>
            <w:tcW w:w="6920" w:type="dxa"/>
            <w:vAlign w:val="bottom"/>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ectPr>
          <w:pgSz w:w="11900" w:h="16838" w:orient="portrait"/>
          <w:cols w:equalWidth="0" w:num="1">
            <w:col w:w="11020"/>
          </w:cols>
          <w:pgMar w:left="440" w:top="270" w:right="439" w:bottom="1440" w:gutter="0" w:footer="0" w:header="0"/>
        </w:sectPr>
      </w:pPr>
    </w:p>
    <w:bookmarkStart w:id="11" w:name="page12"/>
    <w:bookmarkEnd w:id="11"/>
    <w:p>
      <w:pPr>
        <w:jc w:val="center"/>
        <w:ind w:right="20"/>
        <w:spacing w:after="0"/>
        <w:rPr>
          <w:sz w:val="20"/>
          <w:szCs w:val="20"/>
          <w:color w:val="auto"/>
        </w:rPr>
      </w:pPr>
      <w:r>
        <w:rPr>
          <w:rFonts w:ascii="Arial" w:cs="Arial" w:eastAsia="Arial" w:hAnsi="Arial"/>
          <w:sz w:val="14"/>
          <w:szCs w:val="14"/>
          <w:b w:val="1"/>
          <w:bCs w:val="1"/>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73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174865" cy="38735"/>
                    </a:xfrm>
                    <a:prstGeom prst="rect">
                      <a:avLst/>
                    </a:prstGeom>
                    <a:noFill/>
                  </pic:spPr>
                </pic:pic>
              </a:graphicData>
            </a:graphic>
          </wp:anchor>
        </w:drawing>
        <w:t>CANGO INC.</w:t>
      </w:r>
    </w:p>
    <w:p>
      <w:pPr>
        <w:jc w:val="center"/>
        <w:ind w:right="20"/>
        <w:spacing w:after="0" w:line="226" w:lineRule="auto"/>
        <w:rPr>
          <w:sz w:val="20"/>
          <w:szCs w:val="20"/>
          <w:color w:val="auto"/>
        </w:rPr>
      </w:pPr>
      <w:r>
        <w:rPr>
          <w:rFonts w:ascii="Arial" w:cs="Arial" w:eastAsia="Arial" w:hAnsi="Arial"/>
          <w:sz w:val="14"/>
          <w:szCs w:val="14"/>
          <w:b w:val="1"/>
          <w:bCs w:val="1"/>
          <w:color w:val="auto"/>
        </w:rPr>
        <w:t>UNAUDITED INTERIM CONDENSED CONSOLIDATED STATEMENTS OF</w:t>
      </w:r>
    </w:p>
    <w:p>
      <w:pPr>
        <w:jc w:val="center"/>
        <w:ind w:right="20"/>
        <w:spacing w:after="0" w:line="221" w:lineRule="auto"/>
        <w:rPr>
          <w:sz w:val="20"/>
          <w:szCs w:val="20"/>
          <w:color w:val="auto"/>
        </w:rPr>
      </w:pPr>
      <w:r>
        <w:rPr>
          <w:rFonts w:ascii="Arial" w:cs="Arial" w:eastAsia="Arial" w:hAnsi="Arial"/>
          <w:sz w:val="14"/>
          <w:szCs w:val="14"/>
          <w:b w:val="1"/>
          <w:bCs w:val="1"/>
          <w:color w:val="auto"/>
        </w:rPr>
        <w:t>COMPREHENSIVE INCOME</w:t>
      </w:r>
    </w:p>
    <w:p>
      <w:pPr>
        <w:spacing w:after="0" w:line="1" w:lineRule="exact"/>
        <w:rPr>
          <w:sz w:val="20"/>
          <w:szCs w:val="20"/>
          <w:color w:val="auto"/>
        </w:rPr>
      </w:pPr>
    </w:p>
    <w:p>
      <w:pPr>
        <w:jc w:val="center"/>
        <w:ind w:right="20"/>
        <w:spacing w:after="0"/>
        <w:rPr>
          <w:sz w:val="20"/>
          <w:szCs w:val="20"/>
          <w:color w:val="auto"/>
        </w:rPr>
      </w:pPr>
      <w:r>
        <w:rPr>
          <w:rFonts w:ascii="Arial" w:cs="Arial" w:eastAsia="Arial" w:hAnsi="Arial"/>
          <w:sz w:val="14"/>
          <w:szCs w:val="14"/>
          <w:b w:val="1"/>
          <w:bCs w:val="1"/>
          <w:color w:val="auto"/>
        </w:rPr>
        <w:t>(Amounts in Renminbi (“RMB”) and US dollar (“US$”), except for number of shares and per share data)</w:t>
      </w:r>
    </w:p>
    <w:p>
      <w:pPr>
        <w:spacing w:after="0" w:line="215" w:lineRule="exact"/>
        <w:rPr>
          <w:sz w:val="20"/>
          <w:szCs w:val="20"/>
          <w:color w:val="auto"/>
        </w:rPr>
      </w:pPr>
    </w:p>
    <w:tbl>
      <w:tblPr>
        <w:tblLayout w:type="fixed"/>
        <w:tblInd w:w="0" w:type="dxa"/>
        <w:tblCellMar>
          <w:top w:w="0" w:type="dxa"/>
          <w:left w:w="0" w:type="dxa"/>
          <w:bottom w:w="0" w:type="dxa"/>
          <w:right w:w="0" w:type="dxa"/>
        </w:tblCellMar>
      </w:tblPr>
      <w:tr>
        <w:trPr>
          <w:trHeight w:val="171"/>
        </w:trPr>
        <w:tc>
          <w:tcPr>
            <w:tcW w:w="3740" w:type="dxa"/>
            <w:vAlign w:val="bottom"/>
          </w:tcPr>
          <w:p>
            <w:pPr>
              <w:spacing w:after="0"/>
              <w:rPr>
                <w:sz w:val="14"/>
                <w:szCs w:val="14"/>
                <w:color w:val="auto"/>
              </w:rPr>
            </w:pPr>
          </w:p>
        </w:tc>
        <w:tc>
          <w:tcPr>
            <w:tcW w:w="3380" w:type="dxa"/>
            <w:vAlign w:val="bottom"/>
            <w:tcBorders>
              <w:bottom w:val="single" w:sz="8" w:color="auto"/>
            </w:tcBorders>
            <w:gridSpan w:val="7"/>
          </w:tcPr>
          <w:p>
            <w:pPr>
              <w:jc w:val="center"/>
              <w:spacing w:after="0"/>
              <w:rPr>
                <w:sz w:val="20"/>
                <w:szCs w:val="20"/>
                <w:color w:val="auto"/>
              </w:rPr>
            </w:pPr>
            <w:r>
              <w:rPr>
                <w:rFonts w:ascii="Arial" w:cs="Arial" w:eastAsia="Arial" w:hAnsi="Arial"/>
                <w:sz w:val="14"/>
                <w:szCs w:val="14"/>
                <w:b w:val="1"/>
                <w:bCs w:val="1"/>
                <w:color w:val="auto"/>
                <w:w w:val="92"/>
              </w:rPr>
              <w:t>Three months ended June 30,</w:t>
            </w:r>
          </w:p>
        </w:tc>
        <w:tc>
          <w:tcPr>
            <w:tcW w:w="220" w:type="dxa"/>
            <w:vAlign w:val="bottom"/>
          </w:tcPr>
          <w:p>
            <w:pPr>
              <w:spacing w:after="0"/>
              <w:rPr>
                <w:sz w:val="14"/>
                <w:szCs w:val="14"/>
                <w:color w:val="auto"/>
              </w:rPr>
            </w:pPr>
          </w:p>
        </w:tc>
        <w:tc>
          <w:tcPr>
            <w:tcW w:w="2620" w:type="dxa"/>
            <w:vAlign w:val="bottom"/>
            <w:tcBorders>
              <w:bottom w:val="single" w:sz="8" w:color="auto"/>
            </w:tcBorders>
            <w:gridSpan w:val="5"/>
          </w:tcPr>
          <w:p>
            <w:pPr>
              <w:jc w:val="center"/>
              <w:ind w:left="852"/>
              <w:spacing w:after="0"/>
              <w:rPr>
                <w:sz w:val="20"/>
                <w:szCs w:val="20"/>
                <w:color w:val="auto"/>
              </w:rPr>
            </w:pPr>
            <w:r>
              <w:rPr>
                <w:rFonts w:ascii="Arial" w:cs="Arial" w:eastAsia="Arial" w:hAnsi="Arial"/>
                <w:sz w:val="14"/>
                <w:szCs w:val="14"/>
                <w:b w:val="1"/>
                <w:bCs w:val="1"/>
                <w:color w:val="auto"/>
                <w:w w:val="90"/>
              </w:rPr>
              <w:t>Six months ended June 30,</w:t>
            </w:r>
          </w:p>
        </w:tc>
        <w:tc>
          <w:tcPr>
            <w:tcW w:w="94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19"/>
        </w:trPr>
        <w:tc>
          <w:tcPr>
            <w:tcW w:w="3740" w:type="dxa"/>
            <w:vAlign w:val="bottom"/>
          </w:tcPr>
          <w:p>
            <w:pPr>
              <w:spacing w:after="0"/>
              <w:rPr>
                <w:sz w:val="10"/>
                <w:szCs w:val="10"/>
                <w:color w:val="auto"/>
              </w:rPr>
            </w:pPr>
          </w:p>
        </w:tc>
        <w:tc>
          <w:tcPr>
            <w:tcW w:w="980" w:type="dxa"/>
            <w:vAlign w:val="bottom"/>
          </w:tcPr>
          <w:p>
            <w:pPr>
              <w:jc w:val="right"/>
              <w:ind w:right="252"/>
              <w:spacing w:after="0" w:line="119" w:lineRule="exact"/>
              <w:rPr>
                <w:sz w:val="20"/>
                <w:szCs w:val="20"/>
                <w:color w:val="auto"/>
              </w:rPr>
            </w:pPr>
            <w:r>
              <w:rPr>
                <w:rFonts w:ascii="Arial" w:cs="Arial" w:eastAsia="Arial" w:hAnsi="Arial"/>
                <w:sz w:val="13"/>
                <w:szCs w:val="13"/>
                <w:b w:val="1"/>
                <w:bCs w:val="1"/>
                <w:color w:val="auto"/>
              </w:rPr>
              <w:t>2020</w:t>
            </w:r>
          </w:p>
        </w:tc>
        <w:tc>
          <w:tcPr>
            <w:tcW w:w="2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1260" w:type="dxa"/>
            <w:vAlign w:val="bottom"/>
            <w:gridSpan w:val="3"/>
          </w:tcPr>
          <w:p>
            <w:pPr>
              <w:jc w:val="right"/>
              <w:ind w:right="20"/>
              <w:spacing w:after="0" w:line="119" w:lineRule="exact"/>
              <w:rPr>
                <w:sz w:val="20"/>
                <w:szCs w:val="20"/>
                <w:color w:val="auto"/>
              </w:rPr>
            </w:pPr>
            <w:r>
              <w:rPr>
                <w:rFonts w:ascii="Arial" w:cs="Arial" w:eastAsia="Arial" w:hAnsi="Arial"/>
                <w:sz w:val="13"/>
                <w:szCs w:val="13"/>
                <w:b w:val="1"/>
                <w:bCs w:val="1"/>
                <w:color w:val="auto"/>
              </w:rPr>
              <w:t>2021</w:t>
            </w:r>
          </w:p>
        </w:tc>
        <w:tc>
          <w:tcPr>
            <w:tcW w:w="1140" w:type="dxa"/>
            <w:vAlign w:val="bottom"/>
            <w:gridSpan w:val="2"/>
            <w:vMerge w:val="restart"/>
          </w:tcPr>
          <w:p>
            <w:pPr>
              <w:jc w:val="right"/>
              <w:ind w:right="580"/>
              <w:spacing w:after="0"/>
              <w:rPr>
                <w:sz w:val="20"/>
                <w:szCs w:val="20"/>
                <w:color w:val="auto"/>
              </w:rPr>
            </w:pPr>
            <w:r>
              <w:rPr>
                <w:rFonts w:ascii="Arial" w:cs="Arial" w:eastAsia="Arial" w:hAnsi="Arial"/>
                <w:sz w:val="14"/>
                <w:szCs w:val="14"/>
                <w:b w:val="1"/>
                <w:bCs w:val="1"/>
                <w:color w:val="auto"/>
              </w:rPr>
              <w:t>US$</w:t>
            </w:r>
          </w:p>
        </w:tc>
        <w:tc>
          <w:tcPr>
            <w:tcW w:w="980" w:type="dxa"/>
            <w:vAlign w:val="bottom"/>
          </w:tcPr>
          <w:p>
            <w:pPr>
              <w:jc w:val="right"/>
              <w:ind w:right="252"/>
              <w:spacing w:after="0" w:line="119" w:lineRule="exact"/>
              <w:rPr>
                <w:sz w:val="20"/>
                <w:szCs w:val="20"/>
                <w:color w:val="auto"/>
              </w:rPr>
            </w:pPr>
            <w:r>
              <w:rPr>
                <w:rFonts w:ascii="Arial" w:cs="Arial" w:eastAsia="Arial" w:hAnsi="Arial"/>
                <w:sz w:val="13"/>
                <w:szCs w:val="13"/>
                <w:b w:val="1"/>
                <w:bCs w:val="1"/>
                <w:color w:val="auto"/>
              </w:rPr>
              <w:t>2020</w:t>
            </w:r>
          </w:p>
        </w:tc>
        <w:tc>
          <w:tcPr>
            <w:tcW w:w="220" w:type="dxa"/>
            <w:vAlign w:val="bottom"/>
          </w:tcPr>
          <w:p>
            <w:pPr>
              <w:spacing w:after="0"/>
              <w:rPr>
                <w:sz w:val="10"/>
                <w:szCs w:val="10"/>
                <w:color w:val="auto"/>
              </w:rPr>
            </w:pPr>
          </w:p>
        </w:tc>
        <w:tc>
          <w:tcPr>
            <w:tcW w:w="1360" w:type="dxa"/>
            <w:vAlign w:val="bottom"/>
            <w:gridSpan w:val="2"/>
          </w:tcPr>
          <w:p>
            <w:pPr>
              <w:jc w:val="right"/>
              <w:ind w:right="40"/>
              <w:spacing w:after="0" w:line="119" w:lineRule="exact"/>
              <w:rPr>
                <w:sz w:val="20"/>
                <w:szCs w:val="20"/>
                <w:color w:val="auto"/>
              </w:rPr>
            </w:pPr>
            <w:r>
              <w:rPr>
                <w:rFonts w:ascii="Arial" w:cs="Arial" w:eastAsia="Arial" w:hAnsi="Arial"/>
                <w:sz w:val="13"/>
                <w:szCs w:val="13"/>
                <w:b w:val="1"/>
                <w:bCs w:val="1"/>
                <w:color w:val="auto"/>
              </w:rPr>
              <w:t>2021</w:t>
            </w:r>
          </w:p>
        </w:tc>
        <w:tc>
          <w:tcPr>
            <w:tcW w:w="60" w:type="dxa"/>
            <w:vAlign w:val="bottom"/>
          </w:tcPr>
          <w:p>
            <w:pPr>
              <w:spacing w:after="0"/>
              <w:rPr>
                <w:sz w:val="10"/>
                <w:szCs w:val="10"/>
                <w:color w:val="auto"/>
              </w:rPr>
            </w:pPr>
          </w:p>
        </w:tc>
        <w:tc>
          <w:tcPr>
            <w:tcW w:w="1060" w:type="dxa"/>
            <w:vAlign w:val="bottom"/>
            <w:gridSpan w:val="2"/>
            <w:vMerge w:val="restart"/>
          </w:tcPr>
          <w:p>
            <w:pPr>
              <w:jc w:val="right"/>
              <w:ind w:right="500"/>
              <w:spacing w:after="0"/>
              <w:rPr>
                <w:sz w:val="20"/>
                <w:szCs w:val="20"/>
                <w:color w:val="auto"/>
              </w:rPr>
            </w:pPr>
            <w:r>
              <w:rPr>
                <w:rFonts w:ascii="Arial" w:cs="Arial" w:eastAsia="Arial" w:hAnsi="Arial"/>
                <w:sz w:val="14"/>
                <w:szCs w:val="14"/>
                <w:b w:val="1"/>
                <w:bCs w:val="1"/>
                <w:color w:val="auto"/>
              </w:rPr>
              <w:t>US$</w:t>
            </w:r>
          </w:p>
        </w:tc>
        <w:tc>
          <w:tcPr>
            <w:tcW w:w="0" w:type="dxa"/>
            <w:vAlign w:val="bottom"/>
          </w:tcPr>
          <w:p>
            <w:pPr>
              <w:spacing w:after="0"/>
              <w:rPr>
                <w:sz w:val="1"/>
                <w:szCs w:val="1"/>
                <w:color w:val="auto"/>
              </w:rPr>
            </w:pPr>
          </w:p>
        </w:tc>
      </w:tr>
      <w:tr>
        <w:trPr>
          <w:trHeight w:val="171"/>
        </w:trPr>
        <w:tc>
          <w:tcPr>
            <w:tcW w:w="3740" w:type="dxa"/>
            <w:vAlign w:val="bottom"/>
          </w:tcPr>
          <w:p>
            <w:pPr>
              <w:spacing w:after="0"/>
              <w:rPr>
                <w:sz w:val="14"/>
                <w:szCs w:val="14"/>
                <w:color w:val="auto"/>
              </w:rPr>
            </w:pPr>
          </w:p>
        </w:tc>
        <w:tc>
          <w:tcPr>
            <w:tcW w:w="1200" w:type="dxa"/>
            <w:vAlign w:val="bottom"/>
            <w:gridSpan w:val="3"/>
          </w:tcPr>
          <w:p>
            <w:pPr>
              <w:jc w:val="right"/>
              <w:ind w:right="540"/>
              <w:spacing w:after="0"/>
              <w:rPr>
                <w:sz w:val="20"/>
                <w:szCs w:val="20"/>
                <w:color w:val="auto"/>
              </w:rPr>
            </w:pPr>
            <w:r>
              <w:rPr>
                <w:rFonts w:ascii="Arial" w:cs="Arial" w:eastAsia="Arial" w:hAnsi="Arial"/>
                <w:sz w:val="14"/>
                <w:szCs w:val="14"/>
                <w:b w:val="1"/>
                <w:bCs w:val="1"/>
                <w:color w:val="auto"/>
              </w:rPr>
              <w:t>RMB</w:t>
            </w:r>
          </w:p>
        </w:tc>
        <w:tc>
          <w:tcPr>
            <w:tcW w:w="1260" w:type="dxa"/>
            <w:vAlign w:val="bottom"/>
            <w:gridSpan w:val="3"/>
          </w:tcPr>
          <w:p>
            <w:pPr>
              <w:jc w:val="center"/>
              <w:ind w:right="280"/>
              <w:spacing w:after="0"/>
              <w:rPr>
                <w:sz w:val="20"/>
                <w:szCs w:val="20"/>
                <w:color w:val="auto"/>
              </w:rPr>
            </w:pPr>
            <w:r>
              <w:rPr>
                <w:rFonts w:ascii="Arial" w:cs="Arial" w:eastAsia="Arial" w:hAnsi="Arial"/>
                <w:sz w:val="14"/>
                <w:szCs w:val="14"/>
                <w:b w:val="1"/>
                <w:bCs w:val="1"/>
                <w:color w:val="auto"/>
              </w:rPr>
              <w:t>RMB</w:t>
            </w:r>
          </w:p>
        </w:tc>
        <w:tc>
          <w:tcPr>
            <w:tcW w:w="1140" w:type="dxa"/>
            <w:vAlign w:val="bottom"/>
            <w:gridSpan w:val="2"/>
            <w:vMerge w:val="continue"/>
          </w:tcPr>
          <w:p>
            <w:pPr>
              <w:spacing w:after="0"/>
              <w:rPr>
                <w:sz w:val="14"/>
                <w:szCs w:val="14"/>
                <w:color w:val="auto"/>
              </w:rPr>
            </w:pPr>
          </w:p>
        </w:tc>
        <w:tc>
          <w:tcPr>
            <w:tcW w:w="1200" w:type="dxa"/>
            <w:vAlign w:val="bottom"/>
            <w:gridSpan w:val="2"/>
          </w:tcPr>
          <w:p>
            <w:pPr>
              <w:jc w:val="right"/>
              <w:ind w:right="540"/>
              <w:spacing w:after="0"/>
              <w:rPr>
                <w:sz w:val="20"/>
                <w:szCs w:val="20"/>
                <w:color w:val="auto"/>
              </w:rPr>
            </w:pPr>
            <w:r>
              <w:rPr>
                <w:rFonts w:ascii="Arial" w:cs="Arial" w:eastAsia="Arial" w:hAnsi="Arial"/>
                <w:sz w:val="14"/>
                <w:szCs w:val="14"/>
                <w:b w:val="1"/>
                <w:bCs w:val="1"/>
                <w:color w:val="auto"/>
              </w:rPr>
              <w:t>RMB</w:t>
            </w:r>
          </w:p>
        </w:tc>
        <w:tc>
          <w:tcPr>
            <w:tcW w:w="1420" w:type="dxa"/>
            <w:vAlign w:val="bottom"/>
            <w:gridSpan w:val="3"/>
          </w:tcPr>
          <w:p>
            <w:pPr>
              <w:jc w:val="center"/>
              <w:ind w:right="280"/>
              <w:spacing w:after="0"/>
              <w:rPr>
                <w:sz w:val="20"/>
                <w:szCs w:val="20"/>
                <w:color w:val="auto"/>
              </w:rPr>
            </w:pPr>
            <w:r>
              <w:rPr>
                <w:rFonts w:ascii="Arial" w:cs="Arial" w:eastAsia="Arial" w:hAnsi="Arial"/>
                <w:sz w:val="14"/>
                <w:szCs w:val="14"/>
                <w:b w:val="1"/>
                <w:bCs w:val="1"/>
                <w:color w:val="auto"/>
              </w:rPr>
              <w:t>RMB</w:t>
            </w:r>
          </w:p>
        </w:tc>
        <w:tc>
          <w:tcPr>
            <w:tcW w:w="1060" w:type="dxa"/>
            <w:vAlign w:val="bottom"/>
            <w:gridSpan w:val="2"/>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88"/>
        </w:trPr>
        <w:tc>
          <w:tcPr>
            <w:tcW w:w="3740" w:type="dxa"/>
            <w:vAlign w:val="bottom"/>
          </w:tcPr>
          <w:p>
            <w:pPr>
              <w:spacing w:after="0"/>
              <w:rPr>
                <w:sz w:val="7"/>
                <w:szCs w:val="7"/>
                <w:color w:val="auto"/>
              </w:rPr>
            </w:pPr>
          </w:p>
        </w:tc>
        <w:tc>
          <w:tcPr>
            <w:tcW w:w="980" w:type="dxa"/>
            <w:vAlign w:val="bottom"/>
            <w:tcBorders>
              <w:top w:val="single" w:sz="8" w:color="auto"/>
            </w:tcBorders>
          </w:tcPr>
          <w:p>
            <w:pPr>
              <w:spacing w:after="0"/>
              <w:rPr>
                <w:sz w:val="7"/>
                <w:szCs w:val="7"/>
                <w:color w:val="auto"/>
              </w:rPr>
            </w:pPr>
          </w:p>
        </w:tc>
        <w:tc>
          <w:tcPr>
            <w:tcW w:w="20" w:type="dxa"/>
            <w:vAlign w:val="bottom"/>
          </w:tcPr>
          <w:p>
            <w:pPr>
              <w:spacing w:after="0"/>
              <w:rPr>
                <w:sz w:val="7"/>
                <w:szCs w:val="7"/>
                <w:color w:val="auto"/>
              </w:rPr>
            </w:pPr>
          </w:p>
        </w:tc>
        <w:tc>
          <w:tcPr>
            <w:tcW w:w="200" w:type="dxa"/>
            <w:vAlign w:val="bottom"/>
          </w:tcPr>
          <w:p>
            <w:pPr>
              <w:spacing w:after="0"/>
              <w:rPr>
                <w:sz w:val="7"/>
                <w:szCs w:val="7"/>
                <w:color w:val="auto"/>
              </w:rPr>
            </w:pPr>
          </w:p>
        </w:tc>
        <w:tc>
          <w:tcPr>
            <w:tcW w:w="980" w:type="dxa"/>
            <w:vAlign w:val="bottom"/>
            <w:tcBorders>
              <w:top w:val="single" w:sz="8" w:color="auto"/>
            </w:tcBorders>
          </w:tcPr>
          <w:p>
            <w:pPr>
              <w:spacing w:after="0"/>
              <w:rPr>
                <w:sz w:val="7"/>
                <w:szCs w:val="7"/>
                <w:color w:val="auto"/>
              </w:rPr>
            </w:pPr>
          </w:p>
        </w:tc>
        <w:tc>
          <w:tcPr>
            <w:tcW w:w="220" w:type="dxa"/>
            <w:vAlign w:val="bottom"/>
          </w:tcPr>
          <w:p>
            <w:pPr>
              <w:spacing w:after="0"/>
              <w:rPr>
                <w:sz w:val="7"/>
                <w:szCs w:val="7"/>
                <w:color w:val="auto"/>
              </w:rPr>
            </w:pPr>
          </w:p>
        </w:tc>
        <w:tc>
          <w:tcPr>
            <w:tcW w:w="60" w:type="dxa"/>
            <w:vAlign w:val="bottom"/>
            <w:tcBorders>
              <w:top w:val="single" w:sz="8" w:color="auto"/>
            </w:tcBorders>
          </w:tcPr>
          <w:p>
            <w:pPr>
              <w:spacing w:after="0"/>
              <w:rPr>
                <w:sz w:val="7"/>
                <w:szCs w:val="7"/>
                <w:color w:val="auto"/>
              </w:rPr>
            </w:pPr>
          </w:p>
        </w:tc>
        <w:tc>
          <w:tcPr>
            <w:tcW w:w="920" w:type="dxa"/>
            <w:vAlign w:val="bottom"/>
            <w:tcBorders>
              <w:top w:val="single" w:sz="8" w:color="auto"/>
            </w:tcBorders>
          </w:tcPr>
          <w:p>
            <w:pPr>
              <w:spacing w:after="0"/>
              <w:rPr>
                <w:sz w:val="7"/>
                <w:szCs w:val="7"/>
                <w:color w:val="auto"/>
              </w:rPr>
            </w:pPr>
          </w:p>
        </w:tc>
        <w:tc>
          <w:tcPr>
            <w:tcW w:w="220" w:type="dxa"/>
            <w:vAlign w:val="bottom"/>
          </w:tcPr>
          <w:p>
            <w:pPr>
              <w:spacing w:after="0"/>
              <w:rPr>
                <w:sz w:val="7"/>
                <w:szCs w:val="7"/>
                <w:color w:val="auto"/>
              </w:rPr>
            </w:pPr>
          </w:p>
        </w:tc>
        <w:tc>
          <w:tcPr>
            <w:tcW w:w="980" w:type="dxa"/>
            <w:vAlign w:val="bottom"/>
            <w:tcBorders>
              <w:top w:val="single" w:sz="8" w:color="auto"/>
            </w:tcBorders>
          </w:tcPr>
          <w:p>
            <w:pPr>
              <w:spacing w:after="0"/>
              <w:rPr>
                <w:sz w:val="7"/>
                <w:szCs w:val="7"/>
                <w:color w:val="auto"/>
              </w:rPr>
            </w:pPr>
          </w:p>
        </w:tc>
        <w:tc>
          <w:tcPr>
            <w:tcW w:w="220" w:type="dxa"/>
            <w:vAlign w:val="bottom"/>
          </w:tcPr>
          <w:p>
            <w:pPr>
              <w:spacing w:after="0"/>
              <w:rPr>
                <w:sz w:val="7"/>
                <w:szCs w:val="7"/>
                <w:color w:val="auto"/>
              </w:rPr>
            </w:pPr>
          </w:p>
        </w:tc>
        <w:tc>
          <w:tcPr>
            <w:tcW w:w="1140" w:type="dxa"/>
            <w:vAlign w:val="bottom"/>
            <w:tcBorders>
              <w:top w:val="single" w:sz="8" w:color="auto"/>
            </w:tcBorders>
          </w:tcPr>
          <w:p>
            <w:pPr>
              <w:spacing w:after="0"/>
              <w:rPr>
                <w:sz w:val="7"/>
                <w:szCs w:val="7"/>
                <w:color w:val="auto"/>
              </w:rPr>
            </w:pPr>
          </w:p>
        </w:tc>
        <w:tc>
          <w:tcPr>
            <w:tcW w:w="220" w:type="dxa"/>
            <w:vAlign w:val="bottom"/>
          </w:tcPr>
          <w:p>
            <w:pPr>
              <w:spacing w:after="0"/>
              <w:rPr>
                <w:sz w:val="7"/>
                <w:szCs w:val="7"/>
                <w:color w:val="auto"/>
              </w:rPr>
            </w:pPr>
          </w:p>
        </w:tc>
        <w:tc>
          <w:tcPr>
            <w:tcW w:w="60" w:type="dxa"/>
            <w:vAlign w:val="bottom"/>
            <w:tcBorders>
              <w:top w:val="single" w:sz="8" w:color="auto"/>
            </w:tcBorders>
          </w:tcPr>
          <w:p>
            <w:pPr>
              <w:spacing w:after="0"/>
              <w:rPr>
                <w:sz w:val="7"/>
                <w:szCs w:val="7"/>
                <w:color w:val="auto"/>
              </w:rPr>
            </w:pPr>
          </w:p>
        </w:tc>
        <w:tc>
          <w:tcPr>
            <w:tcW w:w="940" w:type="dxa"/>
            <w:vAlign w:val="bottom"/>
            <w:tcBorders>
              <w:top w:val="single" w:sz="8" w:color="auto"/>
            </w:tcBorders>
          </w:tcPr>
          <w:p>
            <w:pPr>
              <w:spacing w:after="0"/>
              <w:rPr>
                <w:sz w:val="7"/>
                <w:szCs w:val="7"/>
                <w:color w:val="auto"/>
              </w:rPr>
            </w:pPr>
          </w:p>
        </w:tc>
        <w:tc>
          <w:tcPr>
            <w:tcW w:w="12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216"/>
        </w:trPr>
        <w:tc>
          <w:tcPr>
            <w:tcW w:w="37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Revenues</w:t>
            </w: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w w:val="95"/>
              </w:rPr>
              <w:t>274,054,751</w:t>
            </w:r>
          </w:p>
        </w:tc>
        <w:tc>
          <w:tcPr>
            <w:tcW w:w="20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w w:val="95"/>
              </w:rPr>
              <w:t>946,746,211</w:t>
            </w:r>
          </w:p>
        </w:tc>
        <w:tc>
          <w:tcPr>
            <w:tcW w:w="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w w:val="89"/>
              </w:rPr>
              <w:t>146,632,316</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w w:val="95"/>
              </w:rPr>
              <w:t>520,052,725</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w w:val="97"/>
              </w:rPr>
              <w:t>2,070,532,922</w:t>
            </w:r>
          </w:p>
        </w:tc>
        <w:tc>
          <w:tcPr>
            <w:tcW w:w="6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w w:val="91"/>
              </w:rPr>
              <w:t>320,684,714</w:t>
            </w:r>
          </w:p>
        </w:tc>
        <w:tc>
          <w:tcPr>
            <w:tcW w:w="0" w:type="dxa"/>
            <w:vAlign w:val="bottom"/>
          </w:tcPr>
          <w:p>
            <w:pPr>
              <w:spacing w:after="0"/>
              <w:rPr>
                <w:sz w:val="1"/>
                <w:szCs w:val="1"/>
                <w:color w:val="auto"/>
              </w:rPr>
            </w:pPr>
          </w:p>
        </w:tc>
      </w:tr>
      <w:tr>
        <w:trPr>
          <w:trHeight w:val="216"/>
        </w:trPr>
        <w:tc>
          <w:tcPr>
            <w:tcW w:w="3740" w:type="dxa"/>
            <w:vAlign w:val="bottom"/>
          </w:tcPr>
          <w:p>
            <w:pPr>
              <w:spacing w:after="0"/>
              <w:rPr>
                <w:sz w:val="20"/>
                <w:szCs w:val="20"/>
                <w:color w:val="auto"/>
              </w:rPr>
            </w:pPr>
            <w:r>
              <w:rPr>
                <w:rFonts w:ascii="Arial" w:cs="Arial" w:eastAsia="Arial" w:hAnsi="Arial"/>
                <w:sz w:val="18"/>
                <w:szCs w:val="18"/>
                <w:color w:val="auto"/>
                <w:w w:val="94"/>
              </w:rPr>
              <w:t>Loan facilitation income and other related income</w:t>
            </w:r>
          </w:p>
        </w:tc>
        <w:tc>
          <w:tcPr>
            <w:tcW w:w="1000" w:type="dxa"/>
            <w:vAlign w:val="bottom"/>
            <w:gridSpan w:val="2"/>
          </w:tcPr>
          <w:p>
            <w:pPr>
              <w:jc w:val="right"/>
              <w:ind w:right="20"/>
              <w:spacing w:after="0"/>
              <w:rPr>
                <w:sz w:val="20"/>
                <w:szCs w:val="20"/>
                <w:color w:val="auto"/>
              </w:rPr>
            </w:pPr>
            <w:r>
              <w:rPr>
                <w:rFonts w:ascii="Arial" w:cs="Arial" w:eastAsia="Arial" w:hAnsi="Arial"/>
                <w:sz w:val="18"/>
                <w:szCs w:val="18"/>
                <w:color w:val="auto"/>
                <w:w w:val="95"/>
              </w:rPr>
              <w:t>143,604,125</w:t>
            </w:r>
          </w:p>
        </w:tc>
        <w:tc>
          <w:tcPr>
            <w:tcW w:w="200" w:type="dxa"/>
            <w:vAlign w:val="bottom"/>
          </w:tcPr>
          <w:p>
            <w:pPr>
              <w:spacing w:after="0"/>
              <w:rPr>
                <w:sz w:val="18"/>
                <w:szCs w:val="18"/>
                <w:color w:val="auto"/>
              </w:rPr>
            </w:pPr>
          </w:p>
        </w:tc>
        <w:tc>
          <w:tcPr>
            <w:tcW w:w="1200" w:type="dxa"/>
            <w:vAlign w:val="bottom"/>
            <w:gridSpan w:val="2"/>
          </w:tcPr>
          <w:p>
            <w:pPr>
              <w:jc w:val="right"/>
              <w:ind w:right="141"/>
              <w:spacing w:after="0"/>
              <w:rPr>
                <w:sz w:val="20"/>
                <w:szCs w:val="20"/>
                <w:color w:val="auto"/>
              </w:rPr>
            </w:pPr>
            <w:r>
              <w:rPr>
                <w:rFonts w:ascii="Arial" w:cs="Arial" w:eastAsia="Arial" w:hAnsi="Arial"/>
                <w:sz w:val="18"/>
                <w:szCs w:val="18"/>
                <w:color w:val="auto"/>
                <w:w w:val="95"/>
              </w:rPr>
              <w:t>303,346,685</w:t>
            </w:r>
          </w:p>
        </w:tc>
        <w:tc>
          <w:tcPr>
            <w:tcW w:w="60" w:type="dxa"/>
            <w:vAlign w:val="bottom"/>
          </w:tcPr>
          <w:p>
            <w:pPr>
              <w:spacing w:after="0"/>
              <w:rPr>
                <w:sz w:val="18"/>
                <w:szCs w:val="18"/>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8"/>
                <w:szCs w:val="18"/>
                <w:color w:val="auto"/>
                <w:w w:val="99"/>
              </w:rPr>
              <w:t>46,982,419</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w w:val="95"/>
              </w:rPr>
              <w:t>263,332,523</w:t>
            </w: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715,037,501</w:t>
            </w:r>
          </w:p>
        </w:tc>
        <w:tc>
          <w:tcPr>
            <w:tcW w:w="60" w:type="dxa"/>
            <w:vAlign w:val="bottom"/>
          </w:tcPr>
          <w:p>
            <w:pPr>
              <w:spacing w:after="0"/>
              <w:rPr>
                <w:sz w:val="18"/>
                <w:szCs w:val="18"/>
                <w:color w:val="auto"/>
              </w:rPr>
            </w:pPr>
          </w:p>
        </w:tc>
        <w:tc>
          <w:tcPr>
            <w:tcW w:w="1060" w:type="dxa"/>
            <w:vAlign w:val="bottom"/>
            <w:gridSpan w:val="2"/>
          </w:tcPr>
          <w:p>
            <w:pPr>
              <w:jc w:val="right"/>
              <w:ind w:right="120"/>
              <w:spacing w:after="0"/>
              <w:rPr>
                <w:sz w:val="20"/>
                <w:szCs w:val="20"/>
                <w:color w:val="auto"/>
              </w:rPr>
            </w:pPr>
            <w:r>
              <w:rPr>
                <w:rFonts w:ascii="Arial" w:cs="Arial" w:eastAsia="Arial" w:hAnsi="Arial"/>
                <w:sz w:val="18"/>
                <w:szCs w:val="18"/>
                <w:color w:val="auto"/>
                <w:w w:val="91"/>
              </w:rPr>
              <w:t>110,745,207</w:t>
            </w:r>
          </w:p>
        </w:tc>
        <w:tc>
          <w:tcPr>
            <w:tcW w:w="0" w:type="dxa"/>
            <w:vAlign w:val="bottom"/>
          </w:tcPr>
          <w:p>
            <w:pPr>
              <w:spacing w:after="0"/>
              <w:rPr>
                <w:sz w:val="1"/>
                <w:szCs w:val="1"/>
                <w:color w:val="auto"/>
              </w:rPr>
            </w:pPr>
          </w:p>
        </w:tc>
      </w:tr>
      <w:tr>
        <w:trPr>
          <w:trHeight w:val="216"/>
        </w:trPr>
        <w:tc>
          <w:tcPr>
            <w:tcW w:w="3740" w:type="dxa"/>
            <w:vAlign w:val="bottom"/>
            <w:shd w:val="clear" w:color="auto" w:fill="CCEEFF"/>
          </w:tcPr>
          <w:p>
            <w:pPr>
              <w:spacing w:after="0"/>
              <w:rPr>
                <w:sz w:val="20"/>
                <w:szCs w:val="20"/>
                <w:color w:val="auto"/>
              </w:rPr>
            </w:pPr>
            <w:r>
              <w:rPr>
                <w:rFonts w:ascii="Arial" w:cs="Arial" w:eastAsia="Arial" w:hAnsi="Arial"/>
                <w:sz w:val="18"/>
                <w:szCs w:val="18"/>
                <w:color w:val="auto"/>
              </w:rPr>
              <w:t>Leasing income</w:t>
            </w: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69,275,783</w:t>
            </w:r>
          </w:p>
        </w:tc>
        <w:tc>
          <w:tcPr>
            <w:tcW w:w="20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64,708,395</w:t>
            </w:r>
          </w:p>
        </w:tc>
        <w:tc>
          <w:tcPr>
            <w:tcW w:w="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w w:val="99"/>
              </w:rPr>
              <w:t>10,022,054</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w w:val="95"/>
              </w:rPr>
              <w:t>143,557,538</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137,836,071</w:t>
            </w:r>
          </w:p>
        </w:tc>
        <w:tc>
          <w:tcPr>
            <w:tcW w:w="6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21,348,089</w:t>
            </w:r>
          </w:p>
        </w:tc>
        <w:tc>
          <w:tcPr>
            <w:tcW w:w="0" w:type="dxa"/>
            <w:vAlign w:val="bottom"/>
          </w:tcPr>
          <w:p>
            <w:pPr>
              <w:spacing w:after="0"/>
              <w:rPr>
                <w:sz w:val="1"/>
                <w:szCs w:val="1"/>
                <w:color w:val="auto"/>
              </w:rPr>
            </w:pPr>
          </w:p>
        </w:tc>
      </w:tr>
      <w:tr>
        <w:trPr>
          <w:trHeight w:val="216"/>
        </w:trPr>
        <w:tc>
          <w:tcPr>
            <w:tcW w:w="3740" w:type="dxa"/>
            <w:vAlign w:val="bottom"/>
          </w:tcPr>
          <w:p>
            <w:pPr>
              <w:spacing w:after="0"/>
              <w:rPr>
                <w:sz w:val="20"/>
                <w:szCs w:val="20"/>
                <w:color w:val="auto"/>
              </w:rPr>
            </w:pPr>
            <w:r>
              <w:rPr>
                <w:rFonts w:ascii="Arial" w:cs="Arial" w:eastAsia="Arial" w:hAnsi="Arial"/>
                <w:sz w:val="18"/>
                <w:szCs w:val="18"/>
                <w:color w:val="auto"/>
              </w:rPr>
              <w:t>After-market services income</w:t>
            </w:r>
          </w:p>
        </w:tc>
        <w:tc>
          <w:tcPr>
            <w:tcW w:w="1000" w:type="dxa"/>
            <w:vAlign w:val="bottom"/>
            <w:gridSpan w:val="2"/>
          </w:tcPr>
          <w:p>
            <w:pPr>
              <w:jc w:val="right"/>
              <w:ind w:right="20"/>
              <w:spacing w:after="0"/>
              <w:rPr>
                <w:sz w:val="20"/>
                <w:szCs w:val="20"/>
                <w:color w:val="auto"/>
              </w:rPr>
            </w:pPr>
            <w:r>
              <w:rPr>
                <w:rFonts w:ascii="Arial" w:cs="Arial" w:eastAsia="Arial" w:hAnsi="Arial"/>
                <w:sz w:val="18"/>
                <w:szCs w:val="18"/>
                <w:color w:val="auto"/>
              </w:rPr>
              <w:t>52,472,658</w:t>
            </w:r>
          </w:p>
        </w:tc>
        <w:tc>
          <w:tcPr>
            <w:tcW w:w="200" w:type="dxa"/>
            <w:vAlign w:val="bottom"/>
          </w:tcPr>
          <w:p>
            <w:pPr>
              <w:spacing w:after="0"/>
              <w:rPr>
                <w:sz w:val="18"/>
                <w:szCs w:val="18"/>
                <w:color w:val="auto"/>
              </w:rPr>
            </w:pPr>
          </w:p>
        </w:tc>
        <w:tc>
          <w:tcPr>
            <w:tcW w:w="1200" w:type="dxa"/>
            <w:vAlign w:val="bottom"/>
            <w:gridSpan w:val="2"/>
          </w:tcPr>
          <w:p>
            <w:pPr>
              <w:jc w:val="right"/>
              <w:ind w:right="141"/>
              <w:spacing w:after="0"/>
              <w:rPr>
                <w:sz w:val="20"/>
                <w:szCs w:val="20"/>
                <w:color w:val="auto"/>
              </w:rPr>
            </w:pPr>
            <w:r>
              <w:rPr>
                <w:rFonts w:ascii="Arial" w:cs="Arial" w:eastAsia="Arial" w:hAnsi="Arial"/>
                <w:sz w:val="18"/>
                <w:szCs w:val="18"/>
                <w:color w:val="auto"/>
              </w:rPr>
              <w:t>51,866,024</w:t>
            </w:r>
          </w:p>
        </w:tc>
        <w:tc>
          <w:tcPr>
            <w:tcW w:w="60" w:type="dxa"/>
            <w:vAlign w:val="bottom"/>
          </w:tcPr>
          <w:p>
            <w:pPr>
              <w:spacing w:after="0"/>
              <w:rPr>
                <w:sz w:val="18"/>
                <w:szCs w:val="18"/>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8"/>
                <w:szCs w:val="18"/>
                <w:color w:val="auto"/>
              </w:rPr>
              <w:t>8,033,024</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w w:val="95"/>
              </w:rPr>
              <w:t>101,528,861</w:t>
            </w: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114,395,515</w:t>
            </w:r>
          </w:p>
        </w:tc>
        <w:tc>
          <w:tcPr>
            <w:tcW w:w="60" w:type="dxa"/>
            <w:vAlign w:val="bottom"/>
          </w:tcPr>
          <w:p>
            <w:pPr>
              <w:spacing w:after="0"/>
              <w:rPr>
                <w:sz w:val="18"/>
                <w:szCs w:val="18"/>
                <w:color w:val="auto"/>
              </w:rPr>
            </w:pPr>
          </w:p>
        </w:tc>
        <w:tc>
          <w:tcPr>
            <w:tcW w:w="1060" w:type="dxa"/>
            <w:vAlign w:val="bottom"/>
            <w:gridSpan w:val="2"/>
          </w:tcPr>
          <w:p>
            <w:pPr>
              <w:jc w:val="right"/>
              <w:ind w:right="120"/>
              <w:spacing w:after="0"/>
              <w:rPr>
                <w:sz w:val="20"/>
                <w:szCs w:val="20"/>
                <w:color w:val="auto"/>
              </w:rPr>
            </w:pPr>
            <w:r>
              <w:rPr>
                <w:rFonts w:ascii="Arial" w:cs="Arial" w:eastAsia="Arial" w:hAnsi="Arial"/>
                <w:sz w:val="18"/>
                <w:szCs w:val="18"/>
                <w:color w:val="auto"/>
              </w:rPr>
              <w:t>17,717,609</w:t>
            </w:r>
          </w:p>
        </w:tc>
        <w:tc>
          <w:tcPr>
            <w:tcW w:w="0" w:type="dxa"/>
            <w:vAlign w:val="bottom"/>
          </w:tcPr>
          <w:p>
            <w:pPr>
              <w:spacing w:after="0"/>
              <w:rPr>
                <w:sz w:val="1"/>
                <w:szCs w:val="1"/>
                <w:color w:val="auto"/>
              </w:rPr>
            </w:pPr>
          </w:p>
        </w:tc>
      </w:tr>
      <w:tr>
        <w:trPr>
          <w:trHeight w:val="216"/>
        </w:trPr>
        <w:tc>
          <w:tcPr>
            <w:tcW w:w="3740" w:type="dxa"/>
            <w:vAlign w:val="bottom"/>
            <w:shd w:val="clear" w:color="auto" w:fill="CCEEFF"/>
          </w:tcPr>
          <w:p>
            <w:pPr>
              <w:spacing w:after="0"/>
              <w:rPr>
                <w:sz w:val="20"/>
                <w:szCs w:val="20"/>
                <w:color w:val="auto"/>
              </w:rPr>
            </w:pPr>
            <w:r>
              <w:rPr>
                <w:rFonts w:ascii="Arial" w:cs="Arial" w:eastAsia="Arial" w:hAnsi="Arial"/>
                <w:sz w:val="18"/>
                <w:szCs w:val="18"/>
                <w:color w:val="auto"/>
              </w:rPr>
              <w:t>Automobile trading income</w:t>
            </w: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6,228,508</w:t>
            </w:r>
          </w:p>
        </w:tc>
        <w:tc>
          <w:tcPr>
            <w:tcW w:w="20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w w:val="95"/>
              </w:rPr>
              <w:t>522,544,976</w:t>
            </w:r>
          </w:p>
        </w:tc>
        <w:tc>
          <w:tcPr>
            <w:tcW w:w="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w w:val="99"/>
              </w:rPr>
              <w:t>80,931,911</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7,601,416</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w w:val="97"/>
              </w:rPr>
              <w:t>1,094,109,857</w:t>
            </w:r>
          </w:p>
        </w:tc>
        <w:tc>
          <w:tcPr>
            <w:tcW w:w="6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w w:val="91"/>
              </w:rPr>
              <w:t>169,456,038</w:t>
            </w:r>
          </w:p>
        </w:tc>
        <w:tc>
          <w:tcPr>
            <w:tcW w:w="0" w:type="dxa"/>
            <w:vAlign w:val="bottom"/>
          </w:tcPr>
          <w:p>
            <w:pPr>
              <w:spacing w:after="0"/>
              <w:rPr>
                <w:sz w:val="1"/>
                <w:szCs w:val="1"/>
                <w:color w:val="auto"/>
              </w:rPr>
            </w:pPr>
          </w:p>
        </w:tc>
      </w:tr>
      <w:tr>
        <w:trPr>
          <w:trHeight w:val="216"/>
        </w:trPr>
        <w:tc>
          <w:tcPr>
            <w:tcW w:w="3740" w:type="dxa"/>
            <w:vAlign w:val="bottom"/>
          </w:tcPr>
          <w:p>
            <w:pPr>
              <w:spacing w:after="0"/>
              <w:rPr>
                <w:sz w:val="20"/>
                <w:szCs w:val="20"/>
                <w:color w:val="auto"/>
              </w:rPr>
            </w:pPr>
            <w:r>
              <w:rPr>
                <w:rFonts w:ascii="Arial" w:cs="Arial" w:eastAsia="Arial" w:hAnsi="Arial"/>
                <w:sz w:val="18"/>
                <w:szCs w:val="18"/>
                <w:color w:val="auto"/>
              </w:rPr>
              <w:t>Others</w:t>
            </w:r>
          </w:p>
        </w:tc>
        <w:tc>
          <w:tcPr>
            <w:tcW w:w="1000" w:type="dxa"/>
            <w:vAlign w:val="bottom"/>
            <w:gridSpan w:val="2"/>
          </w:tcPr>
          <w:p>
            <w:pPr>
              <w:jc w:val="right"/>
              <w:ind w:right="20"/>
              <w:spacing w:after="0"/>
              <w:rPr>
                <w:sz w:val="20"/>
                <w:szCs w:val="20"/>
                <w:color w:val="auto"/>
              </w:rPr>
            </w:pPr>
            <w:r>
              <w:rPr>
                <w:rFonts w:ascii="Arial" w:cs="Arial" w:eastAsia="Arial" w:hAnsi="Arial"/>
                <w:sz w:val="18"/>
                <w:szCs w:val="18"/>
                <w:color w:val="auto"/>
              </w:rPr>
              <w:t>2,473,677</w:t>
            </w:r>
          </w:p>
        </w:tc>
        <w:tc>
          <w:tcPr>
            <w:tcW w:w="200" w:type="dxa"/>
            <w:vAlign w:val="bottom"/>
          </w:tcPr>
          <w:p>
            <w:pPr>
              <w:spacing w:after="0"/>
              <w:rPr>
                <w:sz w:val="18"/>
                <w:szCs w:val="18"/>
                <w:color w:val="auto"/>
              </w:rPr>
            </w:pPr>
          </w:p>
        </w:tc>
        <w:tc>
          <w:tcPr>
            <w:tcW w:w="1200" w:type="dxa"/>
            <w:vAlign w:val="bottom"/>
            <w:gridSpan w:val="2"/>
          </w:tcPr>
          <w:p>
            <w:pPr>
              <w:jc w:val="right"/>
              <w:ind w:right="141"/>
              <w:spacing w:after="0"/>
              <w:rPr>
                <w:sz w:val="20"/>
                <w:szCs w:val="20"/>
                <w:color w:val="auto"/>
              </w:rPr>
            </w:pPr>
            <w:r>
              <w:rPr>
                <w:rFonts w:ascii="Arial" w:cs="Arial" w:eastAsia="Arial" w:hAnsi="Arial"/>
                <w:sz w:val="18"/>
                <w:szCs w:val="18"/>
                <w:color w:val="auto"/>
              </w:rPr>
              <w:t>4,280,131</w:t>
            </w:r>
          </w:p>
        </w:tc>
        <w:tc>
          <w:tcPr>
            <w:tcW w:w="60" w:type="dxa"/>
            <w:vAlign w:val="bottom"/>
          </w:tcPr>
          <w:p>
            <w:pPr>
              <w:spacing w:after="0"/>
              <w:rPr>
                <w:sz w:val="18"/>
                <w:szCs w:val="18"/>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8"/>
                <w:szCs w:val="18"/>
                <w:color w:val="auto"/>
              </w:rPr>
              <w:t>662,908</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4,032,387</w:t>
            </w: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9,153,978</w:t>
            </w:r>
          </w:p>
        </w:tc>
        <w:tc>
          <w:tcPr>
            <w:tcW w:w="60" w:type="dxa"/>
            <w:vAlign w:val="bottom"/>
          </w:tcPr>
          <w:p>
            <w:pPr>
              <w:spacing w:after="0"/>
              <w:rPr>
                <w:sz w:val="18"/>
                <w:szCs w:val="18"/>
                <w:color w:val="auto"/>
              </w:rPr>
            </w:pPr>
          </w:p>
        </w:tc>
        <w:tc>
          <w:tcPr>
            <w:tcW w:w="1060" w:type="dxa"/>
            <w:vAlign w:val="bottom"/>
            <w:gridSpan w:val="2"/>
          </w:tcPr>
          <w:p>
            <w:pPr>
              <w:jc w:val="right"/>
              <w:ind w:right="120"/>
              <w:spacing w:after="0"/>
              <w:rPr>
                <w:sz w:val="20"/>
                <w:szCs w:val="20"/>
                <w:color w:val="auto"/>
              </w:rPr>
            </w:pPr>
            <w:r>
              <w:rPr>
                <w:rFonts w:ascii="Arial" w:cs="Arial" w:eastAsia="Arial" w:hAnsi="Arial"/>
                <w:sz w:val="18"/>
                <w:szCs w:val="18"/>
                <w:color w:val="auto"/>
              </w:rPr>
              <w:t>1,417,771</w:t>
            </w:r>
          </w:p>
        </w:tc>
        <w:tc>
          <w:tcPr>
            <w:tcW w:w="0" w:type="dxa"/>
            <w:vAlign w:val="bottom"/>
          </w:tcPr>
          <w:p>
            <w:pPr>
              <w:spacing w:after="0"/>
              <w:rPr>
                <w:sz w:val="1"/>
                <w:szCs w:val="1"/>
                <w:color w:val="auto"/>
              </w:rPr>
            </w:pPr>
          </w:p>
        </w:tc>
      </w:tr>
      <w:tr>
        <w:trPr>
          <w:trHeight w:val="216"/>
        </w:trPr>
        <w:tc>
          <w:tcPr>
            <w:tcW w:w="37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Operating cost and expenses:</w:t>
            </w:r>
          </w:p>
        </w:tc>
        <w:tc>
          <w:tcPr>
            <w:tcW w:w="9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w:t>
            </w:r>
          </w:p>
        </w:tc>
        <w:tc>
          <w:tcPr>
            <w:tcW w:w="9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740" w:type="dxa"/>
            <w:vAlign w:val="bottom"/>
          </w:tcPr>
          <w:p>
            <w:pPr>
              <w:spacing w:after="0"/>
              <w:rPr>
                <w:sz w:val="20"/>
                <w:szCs w:val="20"/>
                <w:color w:val="auto"/>
              </w:rPr>
            </w:pPr>
            <w:r>
              <w:rPr>
                <w:rFonts w:ascii="Arial" w:cs="Arial" w:eastAsia="Arial" w:hAnsi="Arial"/>
                <w:sz w:val="18"/>
                <w:szCs w:val="18"/>
                <w:color w:val="auto"/>
              </w:rPr>
              <w:t>Cost of revenue</w:t>
            </w:r>
          </w:p>
        </w:tc>
        <w:tc>
          <w:tcPr>
            <w:tcW w:w="1000" w:type="dxa"/>
            <w:vAlign w:val="bottom"/>
            <w:gridSpan w:val="2"/>
          </w:tcPr>
          <w:p>
            <w:pPr>
              <w:jc w:val="right"/>
              <w:ind w:right="20"/>
              <w:spacing w:after="0"/>
              <w:rPr>
                <w:sz w:val="20"/>
                <w:szCs w:val="20"/>
                <w:color w:val="auto"/>
              </w:rPr>
            </w:pPr>
            <w:r>
              <w:rPr>
                <w:rFonts w:ascii="Arial" w:cs="Arial" w:eastAsia="Arial" w:hAnsi="Arial"/>
                <w:sz w:val="18"/>
                <w:szCs w:val="18"/>
                <w:color w:val="auto"/>
                <w:w w:val="95"/>
              </w:rPr>
              <w:t>102,817,046</w:t>
            </w:r>
          </w:p>
        </w:tc>
        <w:tc>
          <w:tcPr>
            <w:tcW w:w="200" w:type="dxa"/>
            <w:vAlign w:val="bottom"/>
          </w:tcPr>
          <w:p>
            <w:pPr>
              <w:spacing w:after="0"/>
              <w:rPr>
                <w:sz w:val="18"/>
                <w:szCs w:val="18"/>
                <w:color w:val="auto"/>
              </w:rPr>
            </w:pPr>
          </w:p>
        </w:tc>
        <w:tc>
          <w:tcPr>
            <w:tcW w:w="1200" w:type="dxa"/>
            <w:vAlign w:val="bottom"/>
            <w:gridSpan w:val="2"/>
          </w:tcPr>
          <w:p>
            <w:pPr>
              <w:jc w:val="right"/>
              <w:ind w:right="141"/>
              <w:spacing w:after="0"/>
              <w:rPr>
                <w:sz w:val="20"/>
                <w:szCs w:val="20"/>
                <w:color w:val="auto"/>
              </w:rPr>
            </w:pPr>
            <w:r>
              <w:rPr>
                <w:rFonts w:ascii="Arial" w:cs="Arial" w:eastAsia="Arial" w:hAnsi="Arial"/>
                <w:sz w:val="18"/>
                <w:szCs w:val="18"/>
                <w:color w:val="auto"/>
                <w:w w:val="95"/>
              </w:rPr>
              <w:t>697,786,112</w:t>
            </w:r>
          </w:p>
        </w:tc>
        <w:tc>
          <w:tcPr>
            <w:tcW w:w="60" w:type="dxa"/>
            <w:vAlign w:val="bottom"/>
          </w:tcPr>
          <w:p>
            <w:pPr>
              <w:spacing w:after="0"/>
              <w:rPr>
                <w:sz w:val="18"/>
                <w:szCs w:val="18"/>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8"/>
                <w:szCs w:val="18"/>
                <w:color w:val="auto"/>
                <w:w w:val="89"/>
              </w:rPr>
              <w:t>108,073,307</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w w:val="95"/>
              </w:rPr>
              <w:t>193,414,759</w:t>
            </w: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w w:val="97"/>
              </w:rPr>
              <w:t>1,466,833,661</w:t>
            </w:r>
          </w:p>
        </w:tc>
        <w:tc>
          <w:tcPr>
            <w:tcW w:w="60" w:type="dxa"/>
            <w:vAlign w:val="bottom"/>
          </w:tcPr>
          <w:p>
            <w:pPr>
              <w:spacing w:after="0"/>
              <w:rPr>
                <w:sz w:val="18"/>
                <w:szCs w:val="18"/>
                <w:color w:val="auto"/>
              </w:rPr>
            </w:pPr>
          </w:p>
        </w:tc>
        <w:tc>
          <w:tcPr>
            <w:tcW w:w="1060" w:type="dxa"/>
            <w:vAlign w:val="bottom"/>
            <w:gridSpan w:val="2"/>
          </w:tcPr>
          <w:p>
            <w:pPr>
              <w:jc w:val="right"/>
              <w:ind w:right="120"/>
              <w:spacing w:after="0"/>
              <w:rPr>
                <w:sz w:val="20"/>
                <w:szCs w:val="20"/>
                <w:color w:val="auto"/>
              </w:rPr>
            </w:pPr>
            <w:r>
              <w:rPr>
                <w:rFonts w:ascii="Arial" w:cs="Arial" w:eastAsia="Arial" w:hAnsi="Arial"/>
                <w:sz w:val="18"/>
                <w:szCs w:val="18"/>
                <w:color w:val="auto"/>
                <w:w w:val="91"/>
              </w:rPr>
              <w:t>227,183,605</w:t>
            </w:r>
          </w:p>
        </w:tc>
        <w:tc>
          <w:tcPr>
            <w:tcW w:w="0" w:type="dxa"/>
            <w:vAlign w:val="bottom"/>
          </w:tcPr>
          <w:p>
            <w:pPr>
              <w:spacing w:after="0"/>
              <w:rPr>
                <w:sz w:val="1"/>
                <w:szCs w:val="1"/>
                <w:color w:val="auto"/>
              </w:rPr>
            </w:pPr>
          </w:p>
        </w:tc>
      </w:tr>
      <w:tr>
        <w:trPr>
          <w:trHeight w:val="216"/>
        </w:trPr>
        <w:tc>
          <w:tcPr>
            <w:tcW w:w="3740" w:type="dxa"/>
            <w:vAlign w:val="bottom"/>
            <w:shd w:val="clear" w:color="auto" w:fill="CCEEFF"/>
          </w:tcPr>
          <w:p>
            <w:pPr>
              <w:spacing w:after="0"/>
              <w:rPr>
                <w:sz w:val="20"/>
                <w:szCs w:val="20"/>
                <w:color w:val="auto"/>
              </w:rPr>
            </w:pPr>
            <w:r>
              <w:rPr>
                <w:rFonts w:ascii="Arial" w:cs="Arial" w:eastAsia="Arial" w:hAnsi="Arial"/>
                <w:sz w:val="18"/>
                <w:szCs w:val="18"/>
                <w:color w:val="auto"/>
              </w:rPr>
              <w:t>Sales and marketing</w:t>
            </w: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42,437,952</w:t>
            </w:r>
          </w:p>
        </w:tc>
        <w:tc>
          <w:tcPr>
            <w:tcW w:w="20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60,885,719</w:t>
            </w:r>
          </w:p>
        </w:tc>
        <w:tc>
          <w:tcPr>
            <w:tcW w:w="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9,429,997</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88,212,181</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118,729,278</w:t>
            </w:r>
          </w:p>
        </w:tc>
        <w:tc>
          <w:tcPr>
            <w:tcW w:w="6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18,388,824</w:t>
            </w:r>
          </w:p>
        </w:tc>
        <w:tc>
          <w:tcPr>
            <w:tcW w:w="0" w:type="dxa"/>
            <w:vAlign w:val="bottom"/>
          </w:tcPr>
          <w:p>
            <w:pPr>
              <w:spacing w:after="0"/>
              <w:rPr>
                <w:sz w:val="1"/>
                <w:szCs w:val="1"/>
                <w:color w:val="auto"/>
              </w:rPr>
            </w:pPr>
          </w:p>
        </w:tc>
      </w:tr>
      <w:tr>
        <w:trPr>
          <w:trHeight w:val="216"/>
        </w:trPr>
        <w:tc>
          <w:tcPr>
            <w:tcW w:w="3740" w:type="dxa"/>
            <w:vAlign w:val="bottom"/>
          </w:tcPr>
          <w:p>
            <w:pPr>
              <w:spacing w:after="0"/>
              <w:rPr>
                <w:sz w:val="20"/>
                <w:szCs w:val="20"/>
                <w:color w:val="auto"/>
              </w:rPr>
            </w:pPr>
            <w:r>
              <w:rPr>
                <w:rFonts w:ascii="Arial" w:cs="Arial" w:eastAsia="Arial" w:hAnsi="Arial"/>
                <w:sz w:val="18"/>
                <w:szCs w:val="18"/>
                <w:color w:val="auto"/>
              </w:rPr>
              <w:t>General and administrative</w:t>
            </w:r>
          </w:p>
        </w:tc>
        <w:tc>
          <w:tcPr>
            <w:tcW w:w="1000" w:type="dxa"/>
            <w:vAlign w:val="bottom"/>
            <w:gridSpan w:val="2"/>
          </w:tcPr>
          <w:p>
            <w:pPr>
              <w:jc w:val="right"/>
              <w:ind w:right="20"/>
              <w:spacing w:after="0"/>
              <w:rPr>
                <w:sz w:val="20"/>
                <w:szCs w:val="20"/>
                <w:color w:val="auto"/>
              </w:rPr>
            </w:pPr>
            <w:r>
              <w:rPr>
                <w:rFonts w:ascii="Arial" w:cs="Arial" w:eastAsia="Arial" w:hAnsi="Arial"/>
                <w:sz w:val="18"/>
                <w:szCs w:val="18"/>
                <w:color w:val="auto"/>
              </w:rPr>
              <w:t>66,040,192</w:t>
            </w:r>
          </w:p>
        </w:tc>
        <w:tc>
          <w:tcPr>
            <w:tcW w:w="200" w:type="dxa"/>
            <w:vAlign w:val="bottom"/>
          </w:tcPr>
          <w:p>
            <w:pPr>
              <w:spacing w:after="0"/>
              <w:rPr>
                <w:sz w:val="18"/>
                <w:szCs w:val="18"/>
                <w:color w:val="auto"/>
              </w:rPr>
            </w:pPr>
          </w:p>
        </w:tc>
        <w:tc>
          <w:tcPr>
            <w:tcW w:w="1200" w:type="dxa"/>
            <w:vAlign w:val="bottom"/>
            <w:gridSpan w:val="2"/>
          </w:tcPr>
          <w:p>
            <w:pPr>
              <w:jc w:val="right"/>
              <w:ind w:right="141"/>
              <w:spacing w:after="0"/>
              <w:rPr>
                <w:sz w:val="20"/>
                <w:szCs w:val="20"/>
                <w:color w:val="auto"/>
              </w:rPr>
            </w:pPr>
            <w:r>
              <w:rPr>
                <w:rFonts w:ascii="Arial" w:cs="Arial" w:eastAsia="Arial" w:hAnsi="Arial"/>
                <w:sz w:val="18"/>
                <w:szCs w:val="18"/>
                <w:color w:val="auto"/>
              </w:rPr>
              <w:t>64,658,358</w:t>
            </w:r>
          </w:p>
        </w:tc>
        <w:tc>
          <w:tcPr>
            <w:tcW w:w="60" w:type="dxa"/>
            <w:vAlign w:val="bottom"/>
          </w:tcPr>
          <w:p>
            <w:pPr>
              <w:spacing w:after="0"/>
              <w:rPr>
                <w:sz w:val="18"/>
                <w:szCs w:val="18"/>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8"/>
                <w:szCs w:val="18"/>
                <w:color w:val="auto"/>
                <w:w w:val="99"/>
              </w:rPr>
              <w:t>10,014,304</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w w:val="95"/>
              </w:rPr>
              <w:t>123,451,858</w:t>
            </w: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126,048,975</w:t>
            </w:r>
          </w:p>
        </w:tc>
        <w:tc>
          <w:tcPr>
            <w:tcW w:w="60" w:type="dxa"/>
            <w:vAlign w:val="bottom"/>
          </w:tcPr>
          <w:p>
            <w:pPr>
              <w:spacing w:after="0"/>
              <w:rPr>
                <w:sz w:val="18"/>
                <w:szCs w:val="18"/>
                <w:color w:val="auto"/>
              </w:rPr>
            </w:pPr>
          </w:p>
        </w:tc>
        <w:tc>
          <w:tcPr>
            <w:tcW w:w="1060" w:type="dxa"/>
            <w:vAlign w:val="bottom"/>
            <w:gridSpan w:val="2"/>
          </w:tcPr>
          <w:p>
            <w:pPr>
              <w:jc w:val="right"/>
              <w:ind w:right="120"/>
              <w:spacing w:after="0"/>
              <w:rPr>
                <w:sz w:val="20"/>
                <w:szCs w:val="20"/>
                <w:color w:val="auto"/>
              </w:rPr>
            </w:pPr>
            <w:r>
              <w:rPr>
                <w:rFonts w:ascii="Arial" w:cs="Arial" w:eastAsia="Arial" w:hAnsi="Arial"/>
                <w:sz w:val="18"/>
                <w:szCs w:val="18"/>
                <w:color w:val="auto"/>
              </w:rPr>
              <w:t>19,522,500</w:t>
            </w:r>
          </w:p>
        </w:tc>
        <w:tc>
          <w:tcPr>
            <w:tcW w:w="0" w:type="dxa"/>
            <w:vAlign w:val="bottom"/>
          </w:tcPr>
          <w:p>
            <w:pPr>
              <w:spacing w:after="0"/>
              <w:rPr>
                <w:sz w:val="1"/>
                <w:szCs w:val="1"/>
                <w:color w:val="auto"/>
              </w:rPr>
            </w:pPr>
          </w:p>
        </w:tc>
      </w:tr>
      <w:tr>
        <w:trPr>
          <w:trHeight w:val="216"/>
        </w:trPr>
        <w:tc>
          <w:tcPr>
            <w:tcW w:w="3740" w:type="dxa"/>
            <w:vAlign w:val="bottom"/>
            <w:shd w:val="clear" w:color="auto" w:fill="CCEEFF"/>
          </w:tcPr>
          <w:p>
            <w:pPr>
              <w:spacing w:after="0"/>
              <w:rPr>
                <w:sz w:val="20"/>
                <w:szCs w:val="20"/>
                <w:color w:val="auto"/>
              </w:rPr>
            </w:pPr>
            <w:r>
              <w:rPr>
                <w:rFonts w:ascii="Arial" w:cs="Arial" w:eastAsia="Arial" w:hAnsi="Arial"/>
                <w:sz w:val="18"/>
                <w:szCs w:val="18"/>
                <w:color w:val="auto"/>
              </w:rPr>
              <w:t>Research and development</w:t>
            </w: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12,901,613</w:t>
            </w:r>
          </w:p>
        </w:tc>
        <w:tc>
          <w:tcPr>
            <w:tcW w:w="20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15,638,883</w:t>
            </w:r>
          </w:p>
        </w:tc>
        <w:tc>
          <w:tcPr>
            <w:tcW w:w="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2,422,155</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25,458,298</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29,233,130</w:t>
            </w:r>
          </w:p>
        </w:tc>
        <w:tc>
          <w:tcPr>
            <w:tcW w:w="6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4,527,635</w:t>
            </w:r>
          </w:p>
        </w:tc>
        <w:tc>
          <w:tcPr>
            <w:tcW w:w="0" w:type="dxa"/>
            <w:vAlign w:val="bottom"/>
          </w:tcPr>
          <w:p>
            <w:pPr>
              <w:spacing w:after="0"/>
              <w:rPr>
                <w:sz w:val="1"/>
                <w:szCs w:val="1"/>
                <w:color w:val="auto"/>
              </w:rPr>
            </w:pPr>
          </w:p>
        </w:tc>
      </w:tr>
      <w:tr>
        <w:trPr>
          <w:trHeight w:val="216"/>
        </w:trPr>
        <w:tc>
          <w:tcPr>
            <w:tcW w:w="3740" w:type="dxa"/>
            <w:vAlign w:val="bottom"/>
          </w:tcPr>
          <w:p>
            <w:pPr>
              <w:spacing w:after="0"/>
              <w:rPr>
                <w:sz w:val="20"/>
                <w:szCs w:val="20"/>
                <w:color w:val="auto"/>
              </w:rPr>
            </w:pPr>
            <w:r>
              <w:rPr>
                <w:rFonts w:ascii="Arial" w:cs="Arial" w:eastAsia="Arial" w:hAnsi="Arial"/>
                <w:sz w:val="18"/>
                <w:szCs w:val="18"/>
                <w:color w:val="auto"/>
              </w:rPr>
              <w:t>Net (gain) loss on risk assurance liabilities</w:t>
            </w:r>
          </w:p>
        </w:tc>
        <w:tc>
          <w:tcPr>
            <w:tcW w:w="1200" w:type="dxa"/>
            <w:vAlign w:val="bottom"/>
            <w:gridSpan w:val="3"/>
          </w:tcPr>
          <w:p>
            <w:pPr>
              <w:jc w:val="right"/>
              <w:ind w:right="160"/>
              <w:spacing w:after="0"/>
              <w:rPr>
                <w:sz w:val="20"/>
                <w:szCs w:val="20"/>
                <w:color w:val="auto"/>
              </w:rPr>
            </w:pPr>
            <w:r>
              <w:rPr>
                <w:rFonts w:ascii="Arial" w:cs="Arial" w:eastAsia="Arial" w:hAnsi="Arial"/>
                <w:sz w:val="18"/>
                <w:szCs w:val="18"/>
                <w:color w:val="auto"/>
                <w:w w:val="99"/>
              </w:rPr>
              <w:t>(42,928,191)</w:t>
            </w:r>
          </w:p>
        </w:tc>
        <w:tc>
          <w:tcPr>
            <w:tcW w:w="1200" w:type="dxa"/>
            <w:vAlign w:val="bottom"/>
            <w:gridSpan w:val="2"/>
          </w:tcPr>
          <w:p>
            <w:pPr>
              <w:jc w:val="right"/>
              <w:ind w:right="141"/>
              <w:spacing w:after="0"/>
              <w:rPr>
                <w:sz w:val="20"/>
                <w:szCs w:val="20"/>
                <w:color w:val="auto"/>
              </w:rPr>
            </w:pPr>
            <w:r>
              <w:rPr>
                <w:rFonts w:ascii="Arial" w:cs="Arial" w:eastAsia="Arial" w:hAnsi="Arial"/>
                <w:sz w:val="18"/>
                <w:szCs w:val="18"/>
                <w:color w:val="auto"/>
              </w:rPr>
              <w:t>35,903,834</w:t>
            </w:r>
          </w:p>
        </w:tc>
        <w:tc>
          <w:tcPr>
            <w:tcW w:w="60" w:type="dxa"/>
            <w:vAlign w:val="bottom"/>
          </w:tcPr>
          <w:p>
            <w:pPr>
              <w:spacing w:after="0"/>
              <w:rPr>
                <w:sz w:val="18"/>
                <w:szCs w:val="18"/>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8"/>
                <w:szCs w:val="18"/>
                <w:color w:val="auto"/>
              </w:rPr>
              <w:t>5,560,796</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33,957,484</w:t>
            </w: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57,642,765</w:t>
            </w:r>
          </w:p>
        </w:tc>
        <w:tc>
          <w:tcPr>
            <w:tcW w:w="60" w:type="dxa"/>
            <w:vAlign w:val="bottom"/>
          </w:tcPr>
          <w:p>
            <w:pPr>
              <w:spacing w:after="0"/>
              <w:rPr>
                <w:sz w:val="18"/>
                <w:szCs w:val="18"/>
                <w:color w:val="auto"/>
              </w:rPr>
            </w:pPr>
          </w:p>
        </w:tc>
        <w:tc>
          <w:tcPr>
            <w:tcW w:w="1060" w:type="dxa"/>
            <w:vAlign w:val="bottom"/>
            <w:gridSpan w:val="2"/>
          </w:tcPr>
          <w:p>
            <w:pPr>
              <w:jc w:val="right"/>
              <w:ind w:right="120"/>
              <w:spacing w:after="0"/>
              <w:rPr>
                <w:sz w:val="20"/>
                <w:szCs w:val="20"/>
                <w:color w:val="auto"/>
              </w:rPr>
            </w:pPr>
            <w:r>
              <w:rPr>
                <w:rFonts w:ascii="Arial" w:cs="Arial" w:eastAsia="Arial" w:hAnsi="Arial"/>
                <w:sz w:val="18"/>
                <w:szCs w:val="18"/>
                <w:color w:val="auto"/>
              </w:rPr>
              <w:t>8,927,727</w:t>
            </w:r>
          </w:p>
        </w:tc>
        <w:tc>
          <w:tcPr>
            <w:tcW w:w="0" w:type="dxa"/>
            <w:vAlign w:val="bottom"/>
          </w:tcPr>
          <w:p>
            <w:pPr>
              <w:spacing w:after="0"/>
              <w:rPr>
                <w:sz w:val="1"/>
                <w:szCs w:val="1"/>
                <w:color w:val="auto"/>
              </w:rPr>
            </w:pPr>
          </w:p>
        </w:tc>
      </w:tr>
      <w:tr>
        <w:trPr>
          <w:trHeight w:val="216"/>
        </w:trPr>
        <w:tc>
          <w:tcPr>
            <w:tcW w:w="3740" w:type="dxa"/>
            <w:vAlign w:val="bottom"/>
            <w:shd w:val="clear" w:color="auto" w:fill="CCEEFF"/>
          </w:tcPr>
          <w:p>
            <w:pPr>
              <w:spacing w:after="0"/>
              <w:rPr>
                <w:sz w:val="20"/>
                <w:szCs w:val="20"/>
                <w:color w:val="auto"/>
              </w:rPr>
            </w:pPr>
            <w:r>
              <w:rPr>
                <w:rFonts w:ascii="Arial" w:cs="Arial" w:eastAsia="Arial" w:hAnsi="Arial"/>
                <w:sz w:val="18"/>
                <w:szCs w:val="18"/>
                <w:color w:val="auto"/>
              </w:rPr>
              <w:t>Provision for credit losses</w:t>
            </w: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26,119,771</w:t>
            </w:r>
          </w:p>
        </w:tc>
        <w:tc>
          <w:tcPr>
            <w:tcW w:w="20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58,636,181</w:t>
            </w:r>
          </w:p>
        </w:tc>
        <w:tc>
          <w:tcPr>
            <w:tcW w:w="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9,081,588</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70,214,542</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99,268,133</w:t>
            </w:r>
          </w:p>
        </w:tc>
        <w:tc>
          <w:tcPr>
            <w:tcW w:w="6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15,374,676</w:t>
            </w:r>
          </w:p>
        </w:tc>
        <w:tc>
          <w:tcPr>
            <w:tcW w:w="0" w:type="dxa"/>
            <w:vAlign w:val="bottom"/>
          </w:tcPr>
          <w:p>
            <w:pPr>
              <w:spacing w:after="0"/>
              <w:rPr>
                <w:sz w:val="1"/>
                <w:szCs w:val="1"/>
                <w:color w:val="auto"/>
              </w:rPr>
            </w:pPr>
          </w:p>
        </w:tc>
      </w:tr>
      <w:tr>
        <w:trPr>
          <w:trHeight w:val="223"/>
        </w:trPr>
        <w:tc>
          <w:tcPr>
            <w:tcW w:w="3740" w:type="dxa"/>
            <w:vAlign w:val="bottom"/>
          </w:tcPr>
          <w:p>
            <w:pPr>
              <w:spacing w:after="0"/>
              <w:rPr>
                <w:sz w:val="20"/>
                <w:szCs w:val="20"/>
                <w:color w:val="auto"/>
              </w:rPr>
            </w:pPr>
            <w:r>
              <w:rPr>
                <w:rFonts w:ascii="Arial" w:cs="Arial" w:eastAsia="Arial" w:hAnsi="Arial"/>
                <w:sz w:val="18"/>
                <w:szCs w:val="18"/>
                <w:b w:val="1"/>
                <w:bCs w:val="1"/>
                <w:color w:val="auto"/>
              </w:rPr>
              <w:t>Total operation cost and expense</w:t>
            </w: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5"/>
              </w:rPr>
              <w:t>207,388,383</w:t>
            </w:r>
          </w:p>
        </w:tc>
        <w:tc>
          <w:tcPr>
            <w:tcW w:w="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5"/>
              </w:rPr>
              <w:t>933,509,087</w:t>
            </w:r>
          </w:p>
        </w:tc>
        <w:tc>
          <w:tcPr>
            <w:tcW w:w="220" w:type="dxa"/>
            <w:vAlign w:val="bottom"/>
          </w:tcPr>
          <w:p>
            <w:pPr>
              <w:spacing w:after="0"/>
              <w:rPr>
                <w:sz w:val="19"/>
                <w:szCs w:val="19"/>
                <w:color w:val="auto"/>
              </w:rPr>
            </w:pPr>
          </w:p>
        </w:tc>
        <w:tc>
          <w:tcPr>
            <w:tcW w:w="60" w:type="dxa"/>
            <w:vAlign w:val="bottom"/>
            <w:tcBorders>
              <w:top w:val="single" w:sz="8" w:color="auto"/>
              <w:bottom w:val="single" w:sz="8" w:color="auto"/>
            </w:tcBorders>
          </w:tcPr>
          <w:p>
            <w:pPr>
              <w:spacing w:after="0"/>
              <w:rPr>
                <w:sz w:val="19"/>
                <w:szCs w:val="19"/>
                <w:color w:val="auto"/>
              </w:rPr>
            </w:pP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89"/>
              </w:rPr>
              <w:t>144,582,146</w:t>
            </w:r>
          </w:p>
        </w:tc>
        <w:tc>
          <w:tcPr>
            <w:tcW w:w="220" w:type="dxa"/>
            <w:vAlign w:val="bottom"/>
          </w:tcPr>
          <w:p>
            <w:pPr>
              <w:spacing w:after="0"/>
              <w:rPr>
                <w:sz w:val="19"/>
                <w:szCs w:val="19"/>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5"/>
              </w:rPr>
              <w:t>534,709,122</w:t>
            </w:r>
          </w:p>
        </w:tc>
        <w:tc>
          <w:tcPr>
            <w:tcW w:w="220" w:type="dxa"/>
            <w:vAlign w:val="bottom"/>
          </w:tcPr>
          <w:p>
            <w:pPr>
              <w:spacing w:after="0"/>
              <w:rPr>
                <w:sz w:val="19"/>
                <w:szCs w:val="19"/>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7"/>
              </w:rPr>
              <w:t>1,897,755,942</w:t>
            </w:r>
          </w:p>
        </w:tc>
        <w:tc>
          <w:tcPr>
            <w:tcW w:w="220" w:type="dxa"/>
            <w:vAlign w:val="bottom"/>
          </w:tcPr>
          <w:p>
            <w:pPr>
              <w:spacing w:after="0"/>
              <w:rPr>
                <w:sz w:val="19"/>
                <w:szCs w:val="19"/>
                <w:color w:val="auto"/>
              </w:rPr>
            </w:pPr>
          </w:p>
        </w:tc>
        <w:tc>
          <w:tcPr>
            <w:tcW w:w="60" w:type="dxa"/>
            <w:vAlign w:val="bottom"/>
            <w:tcBorders>
              <w:top w:val="single" w:sz="8" w:color="auto"/>
              <w:bottom w:val="single" w:sz="8" w:color="auto"/>
            </w:tcBorders>
          </w:tcPr>
          <w:p>
            <w:pPr>
              <w:spacing w:after="0"/>
              <w:rPr>
                <w:sz w:val="19"/>
                <w:szCs w:val="19"/>
                <w:color w:val="auto"/>
              </w:rPr>
            </w:pPr>
          </w:p>
        </w:tc>
        <w:tc>
          <w:tcPr>
            <w:tcW w:w="9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1"/>
              </w:rPr>
              <w:t>293,924,967</w:t>
            </w:r>
          </w:p>
        </w:tc>
        <w:tc>
          <w:tcPr>
            <w:tcW w:w="1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74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02"/>
        </w:trPr>
        <w:tc>
          <w:tcPr>
            <w:tcW w:w="3740" w:type="dxa"/>
            <w:vAlign w:val="bottom"/>
          </w:tcPr>
          <w:p>
            <w:pPr>
              <w:spacing w:after="0"/>
              <w:rPr>
                <w:sz w:val="8"/>
                <w:szCs w:val="8"/>
                <w:color w:val="auto"/>
              </w:rPr>
            </w:pPr>
          </w:p>
        </w:tc>
        <w:tc>
          <w:tcPr>
            <w:tcW w:w="980" w:type="dxa"/>
            <w:vAlign w:val="bottom"/>
          </w:tcPr>
          <w:p>
            <w:pPr>
              <w:spacing w:after="0"/>
              <w:rPr>
                <w:sz w:val="8"/>
                <w:szCs w:val="8"/>
                <w:color w:val="auto"/>
              </w:rPr>
            </w:pPr>
          </w:p>
        </w:tc>
        <w:tc>
          <w:tcPr>
            <w:tcW w:w="20" w:type="dxa"/>
            <w:vAlign w:val="bottom"/>
          </w:tcPr>
          <w:p>
            <w:pPr>
              <w:spacing w:after="0"/>
              <w:rPr>
                <w:sz w:val="8"/>
                <w:szCs w:val="8"/>
                <w:color w:val="auto"/>
              </w:rPr>
            </w:pPr>
          </w:p>
        </w:tc>
        <w:tc>
          <w:tcPr>
            <w:tcW w:w="200" w:type="dxa"/>
            <w:vAlign w:val="bottom"/>
          </w:tcPr>
          <w:p>
            <w:pPr>
              <w:spacing w:after="0"/>
              <w:rPr>
                <w:sz w:val="8"/>
                <w:szCs w:val="8"/>
                <w:color w:val="auto"/>
              </w:rPr>
            </w:pPr>
          </w:p>
        </w:tc>
        <w:tc>
          <w:tcPr>
            <w:tcW w:w="980" w:type="dxa"/>
            <w:vAlign w:val="bottom"/>
          </w:tcPr>
          <w:p>
            <w:pPr>
              <w:spacing w:after="0"/>
              <w:rPr>
                <w:sz w:val="8"/>
                <w:szCs w:val="8"/>
                <w:color w:val="auto"/>
              </w:rPr>
            </w:pPr>
          </w:p>
        </w:tc>
        <w:tc>
          <w:tcPr>
            <w:tcW w:w="220" w:type="dxa"/>
            <w:vAlign w:val="bottom"/>
          </w:tcPr>
          <w:p>
            <w:pPr>
              <w:spacing w:after="0"/>
              <w:rPr>
                <w:sz w:val="8"/>
                <w:szCs w:val="8"/>
                <w:color w:val="auto"/>
              </w:rPr>
            </w:pPr>
          </w:p>
        </w:tc>
        <w:tc>
          <w:tcPr>
            <w:tcW w:w="60" w:type="dxa"/>
            <w:vAlign w:val="bottom"/>
          </w:tcPr>
          <w:p>
            <w:pPr>
              <w:spacing w:after="0"/>
              <w:rPr>
                <w:sz w:val="8"/>
                <w:szCs w:val="8"/>
                <w:color w:val="auto"/>
              </w:rPr>
            </w:pPr>
          </w:p>
        </w:tc>
        <w:tc>
          <w:tcPr>
            <w:tcW w:w="920" w:type="dxa"/>
            <w:vAlign w:val="bottom"/>
          </w:tcPr>
          <w:p>
            <w:pPr>
              <w:spacing w:after="0"/>
              <w:rPr>
                <w:sz w:val="8"/>
                <w:szCs w:val="8"/>
                <w:color w:val="auto"/>
              </w:rPr>
            </w:pPr>
          </w:p>
        </w:tc>
        <w:tc>
          <w:tcPr>
            <w:tcW w:w="220" w:type="dxa"/>
            <w:vAlign w:val="bottom"/>
          </w:tcPr>
          <w:p>
            <w:pPr>
              <w:spacing w:after="0"/>
              <w:rPr>
                <w:sz w:val="8"/>
                <w:szCs w:val="8"/>
                <w:color w:val="auto"/>
              </w:rPr>
            </w:pPr>
          </w:p>
        </w:tc>
        <w:tc>
          <w:tcPr>
            <w:tcW w:w="980" w:type="dxa"/>
            <w:vAlign w:val="bottom"/>
          </w:tcPr>
          <w:p>
            <w:pPr>
              <w:spacing w:after="0"/>
              <w:rPr>
                <w:sz w:val="8"/>
                <w:szCs w:val="8"/>
                <w:color w:val="auto"/>
              </w:rPr>
            </w:pPr>
          </w:p>
        </w:tc>
        <w:tc>
          <w:tcPr>
            <w:tcW w:w="220" w:type="dxa"/>
            <w:vAlign w:val="bottom"/>
          </w:tcPr>
          <w:p>
            <w:pPr>
              <w:spacing w:after="0"/>
              <w:rPr>
                <w:sz w:val="8"/>
                <w:szCs w:val="8"/>
                <w:color w:val="auto"/>
              </w:rPr>
            </w:pPr>
          </w:p>
        </w:tc>
        <w:tc>
          <w:tcPr>
            <w:tcW w:w="1140" w:type="dxa"/>
            <w:vAlign w:val="bottom"/>
          </w:tcPr>
          <w:p>
            <w:pPr>
              <w:spacing w:after="0"/>
              <w:rPr>
                <w:sz w:val="8"/>
                <w:szCs w:val="8"/>
                <w:color w:val="auto"/>
              </w:rPr>
            </w:pPr>
          </w:p>
        </w:tc>
        <w:tc>
          <w:tcPr>
            <w:tcW w:w="220" w:type="dxa"/>
            <w:vAlign w:val="bottom"/>
          </w:tcPr>
          <w:p>
            <w:pPr>
              <w:spacing w:after="0"/>
              <w:rPr>
                <w:sz w:val="8"/>
                <w:szCs w:val="8"/>
                <w:color w:val="auto"/>
              </w:rPr>
            </w:pPr>
          </w:p>
        </w:tc>
        <w:tc>
          <w:tcPr>
            <w:tcW w:w="60" w:type="dxa"/>
            <w:vAlign w:val="bottom"/>
          </w:tcPr>
          <w:p>
            <w:pPr>
              <w:spacing w:after="0"/>
              <w:rPr>
                <w:sz w:val="8"/>
                <w:szCs w:val="8"/>
                <w:color w:val="auto"/>
              </w:rPr>
            </w:pPr>
          </w:p>
        </w:tc>
        <w:tc>
          <w:tcPr>
            <w:tcW w:w="94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216"/>
        </w:trPr>
        <w:tc>
          <w:tcPr>
            <w:tcW w:w="37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Income (Loss) from operations</w:t>
            </w: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b w:val="1"/>
                <w:bCs w:val="1"/>
                <w:color w:val="auto"/>
              </w:rPr>
              <w:t>66,666,368</w:t>
            </w:r>
          </w:p>
        </w:tc>
        <w:tc>
          <w:tcPr>
            <w:tcW w:w="20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b w:val="1"/>
                <w:bCs w:val="1"/>
                <w:color w:val="auto"/>
              </w:rPr>
              <w:t>13,237,124</w:t>
            </w:r>
          </w:p>
        </w:tc>
        <w:tc>
          <w:tcPr>
            <w:tcW w:w="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2,050,169</w:t>
            </w:r>
          </w:p>
        </w:tc>
        <w:tc>
          <w:tcPr>
            <w:tcW w:w="12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w w:val="99"/>
              </w:rPr>
              <w:t>(14,656,397)</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172,776,980</w:t>
            </w:r>
          </w:p>
        </w:tc>
        <w:tc>
          <w:tcPr>
            <w:tcW w:w="6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26,759,747</w:t>
            </w:r>
          </w:p>
        </w:tc>
        <w:tc>
          <w:tcPr>
            <w:tcW w:w="0" w:type="dxa"/>
            <w:vAlign w:val="bottom"/>
          </w:tcPr>
          <w:p>
            <w:pPr>
              <w:spacing w:after="0"/>
              <w:rPr>
                <w:sz w:val="1"/>
                <w:szCs w:val="1"/>
                <w:color w:val="auto"/>
              </w:rPr>
            </w:pPr>
          </w:p>
        </w:tc>
      </w:tr>
      <w:tr>
        <w:trPr>
          <w:trHeight w:val="223"/>
        </w:trPr>
        <w:tc>
          <w:tcPr>
            <w:tcW w:w="3740" w:type="dxa"/>
            <w:vAlign w:val="bottom"/>
          </w:tcPr>
          <w:p>
            <w:pPr>
              <w:spacing w:after="0"/>
              <w:rPr>
                <w:sz w:val="20"/>
                <w:szCs w:val="20"/>
                <w:color w:val="auto"/>
              </w:rPr>
            </w:pPr>
            <w:r>
              <w:rPr>
                <w:rFonts w:ascii="Arial" w:cs="Arial" w:eastAsia="Arial" w:hAnsi="Arial"/>
                <w:sz w:val="18"/>
                <w:szCs w:val="18"/>
                <w:color w:val="auto"/>
              </w:rPr>
              <w:t>Interest and investment income</w:t>
            </w:r>
          </w:p>
        </w:tc>
        <w:tc>
          <w:tcPr>
            <w:tcW w:w="9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21,675,128</w:t>
            </w:r>
          </w:p>
        </w:tc>
        <w:tc>
          <w:tcPr>
            <w:tcW w:w="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9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4,128,041</w:t>
            </w:r>
          </w:p>
        </w:tc>
        <w:tc>
          <w:tcPr>
            <w:tcW w:w="220" w:type="dxa"/>
            <w:vAlign w:val="bottom"/>
          </w:tcPr>
          <w:p>
            <w:pPr>
              <w:spacing w:after="0"/>
              <w:rPr>
                <w:sz w:val="19"/>
                <w:szCs w:val="19"/>
                <w:color w:val="auto"/>
              </w:rPr>
            </w:pPr>
          </w:p>
        </w:tc>
        <w:tc>
          <w:tcPr>
            <w:tcW w:w="60" w:type="dxa"/>
            <w:vAlign w:val="bottom"/>
            <w:tcBorders>
              <w:top w:val="single" w:sz="8" w:color="auto"/>
            </w:tcBorders>
          </w:tcPr>
          <w:p>
            <w:pPr>
              <w:spacing w:after="0"/>
              <w:rPr>
                <w:sz w:val="19"/>
                <w:szCs w:val="19"/>
                <w:color w:val="auto"/>
              </w:rPr>
            </w:pPr>
          </w:p>
        </w:tc>
        <w:tc>
          <w:tcPr>
            <w:tcW w:w="9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639,352</w:t>
            </w:r>
          </w:p>
        </w:tc>
        <w:tc>
          <w:tcPr>
            <w:tcW w:w="220" w:type="dxa"/>
            <w:vAlign w:val="bottom"/>
          </w:tcPr>
          <w:p>
            <w:pPr>
              <w:spacing w:after="0"/>
              <w:rPr>
                <w:sz w:val="19"/>
                <w:szCs w:val="19"/>
                <w:color w:val="auto"/>
              </w:rPr>
            </w:pPr>
          </w:p>
        </w:tc>
        <w:tc>
          <w:tcPr>
            <w:tcW w:w="9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50,808,295</w:t>
            </w:r>
          </w:p>
        </w:tc>
        <w:tc>
          <w:tcPr>
            <w:tcW w:w="220" w:type="dxa"/>
            <w:vAlign w:val="bottom"/>
          </w:tcPr>
          <w:p>
            <w:pPr>
              <w:spacing w:after="0"/>
              <w:rPr>
                <w:sz w:val="19"/>
                <w:szCs w:val="19"/>
                <w:color w:val="auto"/>
              </w:rPr>
            </w:pPr>
          </w:p>
        </w:tc>
        <w:tc>
          <w:tcPr>
            <w:tcW w:w="11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22,369,008</w:t>
            </w:r>
          </w:p>
        </w:tc>
        <w:tc>
          <w:tcPr>
            <w:tcW w:w="220" w:type="dxa"/>
            <w:vAlign w:val="bottom"/>
          </w:tcPr>
          <w:p>
            <w:pPr>
              <w:spacing w:after="0"/>
              <w:rPr>
                <w:sz w:val="19"/>
                <w:szCs w:val="19"/>
                <w:color w:val="auto"/>
              </w:rPr>
            </w:pPr>
          </w:p>
        </w:tc>
        <w:tc>
          <w:tcPr>
            <w:tcW w:w="60" w:type="dxa"/>
            <w:vAlign w:val="bottom"/>
            <w:tcBorders>
              <w:top w:val="single" w:sz="8" w:color="auto"/>
            </w:tcBorders>
          </w:tcPr>
          <w:p>
            <w:pPr>
              <w:spacing w:after="0"/>
              <w:rPr>
                <w:sz w:val="19"/>
                <w:szCs w:val="19"/>
                <w:color w:val="auto"/>
              </w:rPr>
            </w:pPr>
          </w:p>
        </w:tc>
        <w:tc>
          <w:tcPr>
            <w:tcW w:w="94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3,464,518</w:t>
            </w:r>
          </w:p>
        </w:tc>
        <w:tc>
          <w:tcPr>
            <w:tcW w:w="1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6"/>
        </w:trPr>
        <w:tc>
          <w:tcPr>
            <w:tcW w:w="3740" w:type="dxa"/>
            <w:vAlign w:val="bottom"/>
            <w:shd w:val="clear" w:color="auto" w:fill="CCEEFF"/>
          </w:tcPr>
          <w:p>
            <w:pPr>
              <w:spacing w:after="0"/>
              <w:rPr>
                <w:sz w:val="20"/>
                <w:szCs w:val="20"/>
                <w:color w:val="auto"/>
              </w:rPr>
            </w:pPr>
            <w:r>
              <w:rPr>
                <w:rFonts w:ascii="Arial" w:cs="Arial" w:eastAsia="Arial" w:hAnsi="Arial"/>
                <w:sz w:val="18"/>
                <w:szCs w:val="18"/>
                <w:color w:val="auto"/>
              </w:rPr>
              <w:t>Fair value change of equity investment</w:t>
            </w:r>
          </w:p>
        </w:tc>
        <w:tc>
          <w:tcPr>
            <w:tcW w:w="1200" w:type="dxa"/>
            <w:vAlign w:val="bottom"/>
            <w:gridSpan w:val="3"/>
            <w:shd w:val="clear" w:color="auto" w:fill="CCEEFF"/>
          </w:tcPr>
          <w:p>
            <w:pPr>
              <w:jc w:val="right"/>
              <w:ind w:right="30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w w:val="95"/>
              </w:rPr>
              <w:t>603,413,645</w:t>
            </w:r>
          </w:p>
        </w:tc>
        <w:tc>
          <w:tcPr>
            <w:tcW w:w="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w w:val="99"/>
              </w:rPr>
              <w:t>93,456,873</w:t>
            </w:r>
          </w:p>
        </w:tc>
        <w:tc>
          <w:tcPr>
            <w:tcW w:w="120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156,488,012</w:t>
            </w:r>
          </w:p>
        </w:tc>
        <w:tc>
          <w:tcPr>
            <w:tcW w:w="6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24,236,907</w:t>
            </w:r>
          </w:p>
        </w:tc>
        <w:tc>
          <w:tcPr>
            <w:tcW w:w="0" w:type="dxa"/>
            <w:vAlign w:val="bottom"/>
          </w:tcPr>
          <w:p>
            <w:pPr>
              <w:spacing w:after="0"/>
              <w:rPr>
                <w:sz w:val="1"/>
                <w:szCs w:val="1"/>
                <w:color w:val="auto"/>
              </w:rPr>
            </w:pPr>
          </w:p>
        </w:tc>
      </w:tr>
      <w:tr>
        <w:trPr>
          <w:trHeight w:val="216"/>
        </w:trPr>
        <w:tc>
          <w:tcPr>
            <w:tcW w:w="3740" w:type="dxa"/>
            <w:vAlign w:val="bottom"/>
          </w:tcPr>
          <w:p>
            <w:pPr>
              <w:spacing w:after="0"/>
              <w:rPr>
                <w:sz w:val="20"/>
                <w:szCs w:val="20"/>
                <w:color w:val="auto"/>
              </w:rPr>
            </w:pPr>
            <w:r>
              <w:rPr>
                <w:rFonts w:ascii="Arial" w:cs="Arial" w:eastAsia="Arial" w:hAnsi="Arial"/>
                <w:sz w:val="18"/>
                <w:szCs w:val="18"/>
                <w:color w:val="auto"/>
              </w:rPr>
              <w:t>Interest expense</w:t>
            </w:r>
          </w:p>
        </w:tc>
        <w:tc>
          <w:tcPr>
            <w:tcW w:w="1200" w:type="dxa"/>
            <w:vAlign w:val="bottom"/>
            <w:gridSpan w:val="3"/>
          </w:tcPr>
          <w:p>
            <w:pPr>
              <w:jc w:val="right"/>
              <w:ind w:right="160"/>
              <w:spacing w:after="0"/>
              <w:rPr>
                <w:sz w:val="20"/>
                <w:szCs w:val="20"/>
                <w:color w:val="auto"/>
              </w:rPr>
            </w:pPr>
            <w:r>
              <w:rPr>
                <w:rFonts w:ascii="Arial" w:cs="Arial" w:eastAsia="Arial" w:hAnsi="Arial"/>
                <w:sz w:val="18"/>
                <w:szCs w:val="18"/>
                <w:color w:val="auto"/>
              </w:rPr>
              <w:t>(369,637)</w:t>
            </w:r>
          </w:p>
        </w:tc>
        <w:tc>
          <w:tcPr>
            <w:tcW w:w="1200" w:type="dxa"/>
            <w:vAlign w:val="bottom"/>
            <w:gridSpan w:val="2"/>
          </w:tcPr>
          <w:p>
            <w:pPr>
              <w:jc w:val="right"/>
              <w:ind w:right="81"/>
              <w:spacing w:after="0"/>
              <w:rPr>
                <w:sz w:val="20"/>
                <w:szCs w:val="20"/>
                <w:color w:val="auto"/>
              </w:rPr>
            </w:pPr>
            <w:r>
              <w:rPr>
                <w:rFonts w:ascii="Arial" w:cs="Arial" w:eastAsia="Arial" w:hAnsi="Arial"/>
                <w:sz w:val="18"/>
                <w:szCs w:val="18"/>
                <w:color w:val="auto"/>
              </w:rPr>
              <w:t>(234,274)</w:t>
            </w:r>
          </w:p>
        </w:tc>
        <w:tc>
          <w:tcPr>
            <w:tcW w:w="60" w:type="dxa"/>
            <w:vAlign w:val="bottom"/>
          </w:tcPr>
          <w:p>
            <w:pPr>
              <w:spacing w:after="0"/>
              <w:rPr>
                <w:sz w:val="18"/>
                <w:szCs w:val="18"/>
                <w:color w:val="auto"/>
              </w:rPr>
            </w:pPr>
          </w:p>
        </w:tc>
        <w:tc>
          <w:tcPr>
            <w:tcW w:w="1140" w:type="dxa"/>
            <w:vAlign w:val="bottom"/>
            <w:gridSpan w:val="2"/>
          </w:tcPr>
          <w:p>
            <w:pPr>
              <w:jc w:val="right"/>
              <w:ind w:right="160"/>
              <w:spacing w:after="0"/>
              <w:rPr>
                <w:sz w:val="20"/>
                <w:szCs w:val="20"/>
                <w:color w:val="auto"/>
              </w:rPr>
            </w:pPr>
            <w:r>
              <w:rPr>
                <w:rFonts w:ascii="Arial" w:cs="Arial" w:eastAsia="Arial" w:hAnsi="Arial"/>
                <w:sz w:val="18"/>
                <w:szCs w:val="18"/>
                <w:color w:val="auto"/>
              </w:rPr>
              <w:t>(36,284)</w:t>
            </w:r>
          </w:p>
        </w:tc>
        <w:tc>
          <w:tcPr>
            <w:tcW w:w="1200" w:type="dxa"/>
            <w:vAlign w:val="bottom"/>
            <w:gridSpan w:val="2"/>
          </w:tcPr>
          <w:p>
            <w:pPr>
              <w:jc w:val="right"/>
              <w:ind w:right="160"/>
              <w:spacing w:after="0"/>
              <w:rPr>
                <w:sz w:val="20"/>
                <w:szCs w:val="20"/>
                <w:color w:val="auto"/>
              </w:rPr>
            </w:pPr>
            <w:r>
              <w:rPr>
                <w:rFonts w:ascii="Arial" w:cs="Arial" w:eastAsia="Arial" w:hAnsi="Arial"/>
                <w:sz w:val="18"/>
                <w:szCs w:val="18"/>
                <w:color w:val="auto"/>
              </w:rPr>
              <w:t>(1,736,923)</w:t>
            </w:r>
          </w:p>
        </w:tc>
        <w:tc>
          <w:tcPr>
            <w:tcW w:w="1360" w:type="dxa"/>
            <w:vAlign w:val="bottom"/>
            <w:gridSpan w:val="2"/>
          </w:tcPr>
          <w:p>
            <w:pPr>
              <w:jc w:val="right"/>
              <w:ind w:right="160"/>
              <w:spacing w:after="0"/>
              <w:rPr>
                <w:sz w:val="20"/>
                <w:szCs w:val="20"/>
                <w:color w:val="auto"/>
              </w:rPr>
            </w:pPr>
            <w:r>
              <w:rPr>
                <w:rFonts w:ascii="Arial" w:cs="Arial" w:eastAsia="Arial" w:hAnsi="Arial"/>
                <w:sz w:val="18"/>
                <w:szCs w:val="18"/>
                <w:color w:val="auto"/>
              </w:rPr>
              <w:t>(813,242)</w:t>
            </w:r>
          </w:p>
        </w:tc>
        <w:tc>
          <w:tcPr>
            <w:tcW w:w="60" w:type="dxa"/>
            <w:vAlign w:val="bottom"/>
          </w:tcPr>
          <w:p>
            <w:pPr>
              <w:spacing w:after="0"/>
              <w:rPr>
                <w:sz w:val="18"/>
                <w:szCs w:val="18"/>
                <w:color w:val="auto"/>
              </w:rPr>
            </w:pPr>
          </w:p>
        </w:tc>
        <w:tc>
          <w:tcPr>
            <w:tcW w:w="1060" w:type="dxa"/>
            <w:vAlign w:val="bottom"/>
            <w:gridSpan w:val="2"/>
          </w:tcPr>
          <w:p>
            <w:pPr>
              <w:jc w:val="right"/>
              <w:ind w:right="60"/>
              <w:spacing w:after="0"/>
              <w:rPr>
                <w:sz w:val="20"/>
                <w:szCs w:val="20"/>
                <w:color w:val="auto"/>
              </w:rPr>
            </w:pPr>
            <w:r>
              <w:rPr>
                <w:rFonts w:ascii="Arial" w:cs="Arial" w:eastAsia="Arial" w:hAnsi="Arial"/>
                <w:sz w:val="18"/>
                <w:szCs w:val="18"/>
                <w:color w:val="auto"/>
              </w:rPr>
              <w:t>(125,955)</w:t>
            </w:r>
          </w:p>
        </w:tc>
        <w:tc>
          <w:tcPr>
            <w:tcW w:w="0" w:type="dxa"/>
            <w:vAlign w:val="bottom"/>
          </w:tcPr>
          <w:p>
            <w:pPr>
              <w:spacing w:after="0"/>
              <w:rPr>
                <w:sz w:val="1"/>
                <w:szCs w:val="1"/>
                <w:color w:val="auto"/>
              </w:rPr>
            </w:pPr>
          </w:p>
        </w:tc>
      </w:tr>
      <w:tr>
        <w:trPr>
          <w:trHeight w:val="216"/>
        </w:trPr>
        <w:tc>
          <w:tcPr>
            <w:tcW w:w="3740" w:type="dxa"/>
            <w:vAlign w:val="bottom"/>
            <w:shd w:val="clear" w:color="auto" w:fill="CCEEFF"/>
          </w:tcPr>
          <w:p>
            <w:pPr>
              <w:spacing w:after="0"/>
              <w:rPr>
                <w:sz w:val="20"/>
                <w:szCs w:val="20"/>
                <w:color w:val="auto"/>
              </w:rPr>
            </w:pPr>
            <w:r>
              <w:rPr>
                <w:rFonts w:ascii="Arial" w:cs="Arial" w:eastAsia="Arial" w:hAnsi="Arial"/>
                <w:sz w:val="18"/>
                <w:szCs w:val="18"/>
                <w:color w:val="auto"/>
              </w:rPr>
              <w:t>Foreign exchange gain (loss), net</w:t>
            </w: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621,774</w:t>
            </w:r>
          </w:p>
        </w:tc>
        <w:tc>
          <w:tcPr>
            <w:tcW w:w="20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81"/>
              <w:spacing w:after="0"/>
              <w:rPr>
                <w:sz w:val="20"/>
                <w:szCs w:val="20"/>
                <w:color w:val="auto"/>
              </w:rPr>
            </w:pPr>
            <w:r>
              <w:rPr>
                <w:rFonts w:ascii="Arial" w:cs="Arial" w:eastAsia="Arial" w:hAnsi="Arial"/>
                <w:sz w:val="18"/>
                <w:szCs w:val="18"/>
                <w:color w:val="auto"/>
              </w:rPr>
              <w:t>(938,526)</w:t>
            </w:r>
          </w:p>
        </w:tc>
        <w:tc>
          <w:tcPr>
            <w:tcW w:w="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(145,359)</w:t>
            </w:r>
          </w:p>
        </w:tc>
        <w:tc>
          <w:tcPr>
            <w:tcW w:w="12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(3,439,945)</w:t>
            </w:r>
          </w:p>
        </w:tc>
        <w:tc>
          <w:tcPr>
            <w:tcW w:w="13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(735,132)</w:t>
            </w:r>
          </w:p>
        </w:tc>
        <w:tc>
          <w:tcPr>
            <w:tcW w:w="6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(113,857)</w:t>
            </w:r>
          </w:p>
        </w:tc>
        <w:tc>
          <w:tcPr>
            <w:tcW w:w="0" w:type="dxa"/>
            <w:vAlign w:val="bottom"/>
          </w:tcPr>
          <w:p>
            <w:pPr>
              <w:spacing w:after="0"/>
              <w:rPr>
                <w:sz w:val="1"/>
                <w:szCs w:val="1"/>
                <w:color w:val="auto"/>
              </w:rPr>
            </w:pPr>
          </w:p>
        </w:tc>
      </w:tr>
      <w:tr>
        <w:trPr>
          <w:trHeight w:val="216"/>
        </w:trPr>
        <w:tc>
          <w:tcPr>
            <w:tcW w:w="3740" w:type="dxa"/>
            <w:vAlign w:val="bottom"/>
          </w:tcPr>
          <w:p>
            <w:pPr>
              <w:spacing w:after="0"/>
              <w:rPr>
                <w:sz w:val="20"/>
                <w:szCs w:val="20"/>
                <w:color w:val="auto"/>
              </w:rPr>
            </w:pPr>
            <w:r>
              <w:rPr>
                <w:rFonts w:ascii="Arial" w:cs="Arial" w:eastAsia="Arial" w:hAnsi="Arial"/>
                <w:sz w:val="18"/>
                <w:szCs w:val="18"/>
                <w:color w:val="auto"/>
              </w:rPr>
              <w:t>Other income</w:t>
            </w:r>
          </w:p>
        </w:tc>
        <w:tc>
          <w:tcPr>
            <w:tcW w:w="1000" w:type="dxa"/>
            <w:vAlign w:val="bottom"/>
            <w:gridSpan w:val="2"/>
          </w:tcPr>
          <w:p>
            <w:pPr>
              <w:jc w:val="right"/>
              <w:ind w:right="20"/>
              <w:spacing w:after="0"/>
              <w:rPr>
                <w:sz w:val="20"/>
                <w:szCs w:val="20"/>
                <w:color w:val="auto"/>
              </w:rPr>
            </w:pPr>
            <w:r>
              <w:rPr>
                <w:rFonts w:ascii="Arial" w:cs="Arial" w:eastAsia="Arial" w:hAnsi="Arial"/>
                <w:sz w:val="18"/>
                <w:szCs w:val="18"/>
                <w:color w:val="auto"/>
              </w:rPr>
              <w:t>7,317,072</w:t>
            </w:r>
          </w:p>
        </w:tc>
        <w:tc>
          <w:tcPr>
            <w:tcW w:w="200" w:type="dxa"/>
            <w:vAlign w:val="bottom"/>
          </w:tcPr>
          <w:p>
            <w:pPr>
              <w:spacing w:after="0"/>
              <w:rPr>
                <w:sz w:val="18"/>
                <w:szCs w:val="18"/>
                <w:color w:val="auto"/>
              </w:rPr>
            </w:pPr>
          </w:p>
        </w:tc>
        <w:tc>
          <w:tcPr>
            <w:tcW w:w="1200" w:type="dxa"/>
            <w:vAlign w:val="bottom"/>
            <w:gridSpan w:val="2"/>
          </w:tcPr>
          <w:p>
            <w:pPr>
              <w:jc w:val="right"/>
              <w:ind w:right="141"/>
              <w:spacing w:after="0"/>
              <w:rPr>
                <w:sz w:val="20"/>
                <w:szCs w:val="20"/>
                <w:color w:val="auto"/>
              </w:rPr>
            </w:pPr>
            <w:r>
              <w:rPr>
                <w:rFonts w:ascii="Arial" w:cs="Arial" w:eastAsia="Arial" w:hAnsi="Arial"/>
                <w:sz w:val="18"/>
                <w:szCs w:val="18"/>
                <w:color w:val="auto"/>
              </w:rPr>
              <w:t>7,568,769</w:t>
            </w:r>
          </w:p>
        </w:tc>
        <w:tc>
          <w:tcPr>
            <w:tcW w:w="60" w:type="dxa"/>
            <w:vAlign w:val="bottom"/>
          </w:tcPr>
          <w:p>
            <w:pPr>
              <w:spacing w:after="0"/>
              <w:rPr>
                <w:sz w:val="18"/>
                <w:szCs w:val="18"/>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8"/>
                <w:szCs w:val="18"/>
                <w:color w:val="auto"/>
              </w:rPr>
              <w:t>1,172,253</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25,790,703</w:t>
            </w: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11,176,345</w:t>
            </w:r>
          </w:p>
        </w:tc>
        <w:tc>
          <w:tcPr>
            <w:tcW w:w="60" w:type="dxa"/>
            <w:vAlign w:val="bottom"/>
          </w:tcPr>
          <w:p>
            <w:pPr>
              <w:spacing w:after="0"/>
              <w:rPr>
                <w:sz w:val="18"/>
                <w:szCs w:val="18"/>
                <w:color w:val="auto"/>
              </w:rPr>
            </w:pPr>
          </w:p>
        </w:tc>
        <w:tc>
          <w:tcPr>
            <w:tcW w:w="1060" w:type="dxa"/>
            <w:vAlign w:val="bottom"/>
            <w:gridSpan w:val="2"/>
          </w:tcPr>
          <w:p>
            <w:pPr>
              <w:jc w:val="right"/>
              <w:ind w:right="120"/>
              <w:spacing w:after="0"/>
              <w:rPr>
                <w:sz w:val="20"/>
                <w:szCs w:val="20"/>
                <w:color w:val="auto"/>
              </w:rPr>
            </w:pPr>
            <w:r>
              <w:rPr>
                <w:rFonts w:ascii="Arial" w:cs="Arial" w:eastAsia="Arial" w:hAnsi="Arial"/>
                <w:sz w:val="18"/>
                <w:szCs w:val="18"/>
                <w:color w:val="auto"/>
              </w:rPr>
              <w:t>1,730,995</w:t>
            </w:r>
          </w:p>
        </w:tc>
        <w:tc>
          <w:tcPr>
            <w:tcW w:w="0" w:type="dxa"/>
            <w:vAlign w:val="bottom"/>
          </w:tcPr>
          <w:p>
            <w:pPr>
              <w:spacing w:after="0"/>
              <w:rPr>
                <w:sz w:val="1"/>
                <w:szCs w:val="1"/>
                <w:color w:val="auto"/>
              </w:rPr>
            </w:pPr>
          </w:p>
        </w:tc>
      </w:tr>
      <w:tr>
        <w:trPr>
          <w:trHeight w:val="216"/>
        </w:trPr>
        <w:tc>
          <w:tcPr>
            <w:tcW w:w="3740" w:type="dxa"/>
            <w:vAlign w:val="bottom"/>
            <w:shd w:val="clear" w:color="auto" w:fill="CCEEFF"/>
          </w:tcPr>
          <w:p>
            <w:pPr>
              <w:spacing w:after="0"/>
              <w:rPr>
                <w:sz w:val="20"/>
                <w:szCs w:val="20"/>
                <w:color w:val="auto"/>
              </w:rPr>
            </w:pPr>
            <w:r>
              <w:rPr>
                <w:rFonts w:ascii="Arial" w:cs="Arial" w:eastAsia="Arial" w:hAnsi="Arial"/>
                <w:sz w:val="18"/>
                <w:szCs w:val="18"/>
                <w:color w:val="auto"/>
              </w:rPr>
              <w:t>Other expenses</w:t>
            </w:r>
          </w:p>
        </w:tc>
        <w:tc>
          <w:tcPr>
            <w:tcW w:w="120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(527,390)</w:t>
            </w:r>
          </w:p>
        </w:tc>
        <w:tc>
          <w:tcPr>
            <w:tcW w:w="1200" w:type="dxa"/>
            <w:vAlign w:val="bottom"/>
            <w:gridSpan w:val="2"/>
            <w:shd w:val="clear" w:color="auto" w:fill="CCEEFF"/>
          </w:tcPr>
          <w:p>
            <w:pPr>
              <w:jc w:val="right"/>
              <w:ind w:right="81"/>
              <w:spacing w:after="0"/>
              <w:rPr>
                <w:sz w:val="20"/>
                <w:szCs w:val="20"/>
                <w:color w:val="auto"/>
              </w:rPr>
            </w:pPr>
            <w:r>
              <w:rPr>
                <w:rFonts w:ascii="Arial" w:cs="Arial" w:eastAsia="Arial" w:hAnsi="Arial"/>
                <w:sz w:val="18"/>
                <w:szCs w:val="18"/>
                <w:color w:val="auto"/>
              </w:rPr>
              <w:t>(193,817)</w:t>
            </w:r>
          </w:p>
        </w:tc>
        <w:tc>
          <w:tcPr>
            <w:tcW w:w="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(30,018)</w:t>
            </w:r>
          </w:p>
        </w:tc>
        <w:tc>
          <w:tcPr>
            <w:tcW w:w="12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(581,495)</w:t>
            </w:r>
          </w:p>
        </w:tc>
        <w:tc>
          <w:tcPr>
            <w:tcW w:w="13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(6,479,822)</w:t>
            </w:r>
          </w:p>
        </w:tc>
        <w:tc>
          <w:tcPr>
            <w:tcW w:w="6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(1,003,597)</w:t>
            </w:r>
          </w:p>
        </w:tc>
        <w:tc>
          <w:tcPr>
            <w:tcW w:w="0" w:type="dxa"/>
            <w:vAlign w:val="bottom"/>
          </w:tcPr>
          <w:p>
            <w:pPr>
              <w:spacing w:after="0"/>
              <w:rPr>
                <w:sz w:val="1"/>
                <w:szCs w:val="1"/>
                <w:color w:val="auto"/>
              </w:rPr>
            </w:pPr>
          </w:p>
        </w:tc>
      </w:tr>
      <w:tr>
        <w:trPr>
          <w:trHeight w:val="230"/>
        </w:trPr>
        <w:tc>
          <w:tcPr>
            <w:tcW w:w="3740" w:type="dxa"/>
            <w:vAlign w:val="bottom"/>
          </w:tcPr>
          <w:p>
            <w:pPr>
              <w:spacing w:after="0"/>
              <w:rPr>
                <w:sz w:val="20"/>
                <w:szCs w:val="20"/>
                <w:color w:val="auto"/>
              </w:rPr>
            </w:pPr>
            <w:r>
              <w:rPr>
                <w:rFonts w:ascii="Arial" w:cs="Arial" w:eastAsia="Arial" w:hAnsi="Arial"/>
                <w:sz w:val="18"/>
                <w:szCs w:val="18"/>
                <w:b w:val="1"/>
                <w:bCs w:val="1"/>
                <w:color w:val="auto"/>
              </w:rPr>
              <w:t>Net income before income taxes</w:t>
            </w: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95,383,315</w:t>
            </w:r>
          </w:p>
        </w:tc>
        <w:tc>
          <w:tcPr>
            <w:tcW w:w="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5"/>
              </w:rPr>
              <w:t>626,980,962</w:t>
            </w:r>
          </w:p>
        </w:tc>
        <w:tc>
          <w:tcPr>
            <w:tcW w:w="220" w:type="dxa"/>
            <w:vAlign w:val="bottom"/>
          </w:tcPr>
          <w:p>
            <w:pPr>
              <w:spacing w:after="0"/>
              <w:rPr>
                <w:sz w:val="20"/>
                <w:szCs w:val="20"/>
                <w:color w:val="auto"/>
              </w:rPr>
            </w:pPr>
          </w:p>
        </w:tc>
        <w:tc>
          <w:tcPr>
            <w:tcW w:w="60" w:type="dxa"/>
            <w:vAlign w:val="bottom"/>
            <w:tcBorders>
              <w:top w:val="single" w:sz="8" w:color="auto"/>
              <w:bottom w:val="single" w:sz="8" w:color="auto"/>
            </w:tcBorders>
          </w:tcPr>
          <w:p>
            <w:pPr>
              <w:spacing w:after="0"/>
              <w:rPr>
                <w:sz w:val="20"/>
                <w:szCs w:val="20"/>
                <w:color w:val="auto"/>
              </w:rPr>
            </w:pP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9"/>
              </w:rPr>
              <w:t>97,106,986</w:t>
            </w:r>
          </w:p>
        </w:tc>
        <w:tc>
          <w:tcPr>
            <w:tcW w:w="220" w:type="dxa"/>
            <w:vAlign w:val="bottom"/>
          </w:tcPr>
          <w:p>
            <w:pPr>
              <w:spacing w:after="0"/>
              <w:rPr>
                <w:sz w:val="20"/>
                <w:szCs w:val="20"/>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56,184,238</w:t>
            </w:r>
          </w:p>
        </w:tc>
        <w:tc>
          <w:tcPr>
            <w:tcW w:w="220" w:type="dxa"/>
            <w:vAlign w:val="bottom"/>
          </w:tcPr>
          <w:p>
            <w:pPr>
              <w:spacing w:after="0"/>
              <w:rPr>
                <w:sz w:val="20"/>
                <w:szCs w:val="20"/>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354,782,149</w:t>
            </w:r>
          </w:p>
        </w:tc>
        <w:tc>
          <w:tcPr>
            <w:tcW w:w="220" w:type="dxa"/>
            <w:vAlign w:val="bottom"/>
          </w:tcPr>
          <w:p>
            <w:pPr>
              <w:spacing w:after="0"/>
              <w:rPr>
                <w:sz w:val="20"/>
                <w:szCs w:val="20"/>
                <w:color w:val="auto"/>
              </w:rPr>
            </w:pPr>
          </w:p>
        </w:tc>
        <w:tc>
          <w:tcPr>
            <w:tcW w:w="60" w:type="dxa"/>
            <w:vAlign w:val="bottom"/>
            <w:tcBorders>
              <w:top w:val="single" w:sz="8" w:color="auto"/>
              <w:bottom w:val="single" w:sz="8" w:color="auto"/>
            </w:tcBorders>
          </w:tcPr>
          <w:p>
            <w:pPr>
              <w:spacing w:after="0"/>
              <w:rPr>
                <w:sz w:val="20"/>
                <w:szCs w:val="20"/>
                <w:color w:val="auto"/>
              </w:rPr>
            </w:pPr>
          </w:p>
        </w:tc>
        <w:tc>
          <w:tcPr>
            <w:tcW w:w="9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54,948,758</w:t>
            </w:r>
          </w:p>
        </w:tc>
        <w:tc>
          <w:tcPr>
            <w:tcW w:w="1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3740" w:type="dxa"/>
            <w:vAlign w:val="bottom"/>
            <w:shd w:val="clear" w:color="auto" w:fill="CCEEFF"/>
          </w:tcPr>
          <w:p>
            <w:pPr>
              <w:spacing w:after="0"/>
              <w:rPr>
                <w:sz w:val="20"/>
                <w:szCs w:val="20"/>
                <w:color w:val="auto"/>
              </w:rPr>
            </w:pPr>
            <w:r>
              <w:rPr>
                <w:rFonts w:ascii="Arial" w:cs="Arial" w:eastAsia="Arial" w:hAnsi="Arial"/>
                <w:sz w:val="18"/>
                <w:szCs w:val="18"/>
                <w:color w:val="auto"/>
              </w:rPr>
              <w:t>Income tax expenses</w:t>
            </w:r>
          </w:p>
        </w:tc>
        <w:tc>
          <w:tcPr>
            <w:tcW w:w="120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w w:val="99"/>
              </w:rPr>
              <w:t>(25,152,250)</w:t>
            </w:r>
          </w:p>
        </w:tc>
        <w:tc>
          <w:tcPr>
            <w:tcW w:w="1200" w:type="dxa"/>
            <w:vAlign w:val="bottom"/>
            <w:gridSpan w:val="2"/>
            <w:shd w:val="clear" w:color="auto" w:fill="CCEEFF"/>
          </w:tcPr>
          <w:p>
            <w:pPr>
              <w:jc w:val="right"/>
              <w:ind w:right="81"/>
              <w:spacing w:after="0"/>
              <w:rPr>
                <w:sz w:val="20"/>
                <w:szCs w:val="20"/>
                <w:color w:val="auto"/>
              </w:rPr>
            </w:pPr>
            <w:r>
              <w:rPr>
                <w:rFonts w:ascii="Arial" w:cs="Arial" w:eastAsia="Arial" w:hAnsi="Arial"/>
                <w:sz w:val="18"/>
                <w:szCs w:val="18"/>
                <w:color w:val="auto"/>
                <w:w w:val="99"/>
              </w:rPr>
              <w:t>(69,243,099)</w:t>
            </w:r>
          </w:p>
        </w:tc>
        <w:tc>
          <w:tcPr>
            <w:tcW w:w="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w w:val="94"/>
              </w:rPr>
              <w:t>(10,724,390)</w:t>
            </w:r>
          </w:p>
        </w:tc>
        <w:tc>
          <w:tcPr>
            <w:tcW w:w="12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w w:val="99"/>
              </w:rPr>
              <w:t>(20,639,459)</w:t>
            </w:r>
          </w:p>
        </w:tc>
        <w:tc>
          <w:tcPr>
            <w:tcW w:w="13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(70,915,821)</w:t>
            </w:r>
          </w:p>
        </w:tc>
        <w:tc>
          <w:tcPr>
            <w:tcW w:w="6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w w:val="95"/>
              </w:rPr>
              <w:t>(10,983,462)</w:t>
            </w:r>
          </w:p>
        </w:tc>
        <w:tc>
          <w:tcPr>
            <w:tcW w:w="0" w:type="dxa"/>
            <w:vAlign w:val="bottom"/>
          </w:tcPr>
          <w:p>
            <w:pPr>
              <w:spacing w:after="0"/>
              <w:rPr>
                <w:sz w:val="1"/>
                <w:szCs w:val="1"/>
                <w:color w:val="auto"/>
              </w:rPr>
            </w:pPr>
          </w:p>
        </w:tc>
      </w:tr>
      <w:tr>
        <w:trPr>
          <w:trHeight w:val="230"/>
        </w:trPr>
        <w:tc>
          <w:tcPr>
            <w:tcW w:w="3740" w:type="dxa"/>
            <w:vAlign w:val="bottom"/>
          </w:tcPr>
          <w:p>
            <w:pPr>
              <w:spacing w:after="0"/>
              <w:rPr>
                <w:sz w:val="20"/>
                <w:szCs w:val="20"/>
                <w:color w:val="auto"/>
              </w:rPr>
            </w:pPr>
            <w:r>
              <w:rPr>
                <w:rFonts w:ascii="Arial" w:cs="Arial" w:eastAsia="Arial" w:hAnsi="Arial"/>
                <w:sz w:val="18"/>
                <w:szCs w:val="18"/>
                <w:b w:val="1"/>
                <w:bCs w:val="1"/>
                <w:color w:val="auto"/>
              </w:rPr>
              <w:t>Net income</w:t>
            </w: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70,231,065</w:t>
            </w:r>
          </w:p>
        </w:tc>
        <w:tc>
          <w:tcPr>
            <w:tcW w:w="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5"/>
              </w:rPr>
              <w:t>557,737,863</w:t>
            </w:r>
          </w:p>
        </w:tc>
        <w:tc>
          <w:tcPr>
            <w:tcW w:w="220" w:type="dxa"/>
            <w:vAlign w:val="bottom"/>
          </w:tcPr>
          <w:p>
            <w:pPr>
              <w:spacing w:after="0"/>
              <w:rPr>
                <w:sz w:val="20"/>
                <w:szCs w:val="20"/>
                <w:color w:val="auto"/>
              </w:rPr>
            </w:pPr>
          </w:p>
        </w:tc>
        <w:tc>
          <w:tcPr>
            <w:tcW w:w="60" w:type="dxa"/>
            <w:vAlign w:val="bottom"/>
            <w:tcBorders>
              <w:top w:val="single" w:sz="8" w:color="auto"/>
              <w:bottom w:val="single" w:sz="8" w:color="auto"/>
            </w:tcBorders>
          </w:tcPr>
          <w:p>
            <w:pPr>
              <w:spacing w:after="0"/>
              <w:rPr>
                <w:sz w:val="20"/>
                <w:szCs w:val="20"/>
                <w:color w:val="auto"/>
              </w:rPr>
            </w:pP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9"/>
              </w:rPr>
              <w:t>86,382,596</w:t>
            </w:r>
          </w:p>
        </w:tc>
        <w:tc>
          <w:tcPr>
            <w:tcW w:w="220" w:type="dxa"/>
            <w:vAlign w:val="bottom"/>
          </w:tcPr>
          <w:p>
            <w:pPr>
              <w:spacing w:after="0"/>
              <w:rPr>
                <w:sz w:val="20"/>
                <w:szCs w:val="20"/>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35,544,779</w:t>
            </w:r>
          </w:p>
        </w:tc>
        <w:tc>
          <w:tcPr>
            <w:tcW w:w="220" w:type="dxa"/>
            <w:vAlign w:val="bottom"/>
          </w:tcPr>
          <w:p>
            <w:pPr>
              <w:spacing w:after="0"/>
              <w:rPr>
                <w:sz w:val="20"/>
                <w:szCs w:val="20"/>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283,866,328</w:t>
            </w:r>
          </w:p>
        </w:tc>
        <w:tc>
          <w:tcPr>
            <w:tcW w:w="220" w:type="dxa"/>
            <w:vAlign w:val="bottom"/>
          </w:tcPr>
          <w:p>
            <w:pPr>
              <w:spacing w:after="0"/>
              <w:rPr>
                <w:sz w:val="20"/>
                <w:szCs w:val="20"/>
                <w:color w:val="auto"/>
              </w:rPr>
            </w:pPr>
          </w:p>
        </w:tc>
        <w:tc>
          <w:tcPr>
            <w:tcW w:w="60" w:type="dxa"/>
            <w:vAlign w:val="bottom"/>
            <w:tcBorders>
              <w:top w:val="single" w:sz="8" w:color="auto"/>
              <w:bottom w:val="single" w:sz="8" w:color="auto"/>
            </w:tcBorders>
          </w:tcPr>
          <w:p>
            <w:pPr>
              <w:spacing w:after="0"/>
              <w:rPr>
                <w:sz w:val="20"/>
                <w:szCs w:val="20"/>
                <w:color w:val="auto"/>
              </w:rPr>
            </w:pPr>
          </w:p>
        </w:tc>
        <w:tc>
          <w:tcPr>
            <w:tcW w:w="9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43,965,296</w:t>
            </w:r>
          </w:p>
        </w:tc>
        <w:tc>
          <w:tcPr>
            <w:tcW w:w="1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374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w w:val="98"/>
              </w:rPr>
              <w:t>Less: Net income attributable to non-controlling</w:t>
            </w:r>
          </w:p>
        </w:tc>
        <w:tc>
          <w:tcPr>
            <w:tcW w:w="98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9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740" w:type="dxa"/>
            <w:vAlign w:val="bottom"/>
            <w:shd w:val="clear" w:color="auto" w:fill="CCEEFF"/>
          </w:tcPr>
          <w:p>
            <w:pPr>
              <w:ind w:left="180"/>
              <w:spacing w:after="0"/>
              <w:rPr>
                <w:sz w:val="20"/>
                <w:szCs w:val="20"/>
                <w:color w:val="auto"/>
              </w:rPr>
            </w:pPr>
            <w:r>
              <w:rPr>
                <w:rFonts w:ascii="Arial" w:cs="Arial" w:eastAsia="Arial" w:hAnsi="Arial"/>
                <w:sz w:val="18"/>
                <w:szCs w:val="18"/>
                <w:color w:val="auto"/>
              </w:rPr>
              <w:t>interests</w:t>
            </w:r>
          </w:p>
        </w:tc>
        <w:tc>
          <w:tcPr>
            <w:tcW w:w="1200" w:type="dxa"/>
            <w:vAlign w:val="bottom"/>
            <w:gridSpan w:val="3"/>
            <w:shd w:val="clear" w:color="auto" w:fill="CCEEFF"/>
          </w:tcPr>
          <w:p>
            <w:pPr>
              <w:jc w:val="right"/>
              <w:ind w:right="300"/>
              <w:spacing w:after="0"/>
              <w:rPr>
                <w:sz w:val="20"/>
                <w:szCs w:val="20"/>
                <w:color w:val="auto"/>
              </w:rPr>
            </w:pPr>
            <w:r>
              <w:rPr>
                <w:rFonts w:ascii="Arial" w:cs="Arial" w:eastAsia="Arial" w:hAnsi="Arial"/>
                <w:sz w:val="18"/>
                <w:szCs w:val="18"/>
                <w:color w:val="auto"/>
              </w:rPr>
              <w:t>—</w:t>
            </w:r>
          </w:p>
        </w:tc>
        <w:tc>
          <w:tcPr>
            <w:tcW w:w="1260" w:type="dxa"/>
            <w:vAlign w:val="bottom"/>
            <w:gridSpan w:val="3"/>
            <w:shd w:val="clear" w:color="auto" w:fill="CCEEFF"/>
          </w:tcPr>
          <w:p>
            <w:pPr>
              <w:jc w:val="right"/>
              <w:ind w:right="360"/>
              <w:spacing w:after="0"/>
              <w:rPr>
                <w:sz w:val="20"/>
                <w:szCs w:val="20"/>
                <w:color w:val="auto"/>
              </w:rPr>
            </w:pPr>
            <w:r>
              <w:rPr>
                <w:rFonts w:ascii="Arial" w:cs="Arial" w:eastAsia="Arial" w:hAnsi="Arial"/>
                <w:sz w:val="18"/>
                <w:szCs w:val="18"/>
                <w:color w:val="auto"/>
              </w:rPr>
              <w:t>—</w:t>
            </w:r>
          </w:p>
        </w:tc>
        <w:tc>
          <w:tcPr>
            <w:tcW w:w="114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3,646,196</w:t>
            </w:r>
          </w:p>
        </w:tc>
        <w:tc>
          <w:tcPr>
            <w:tcW w:w="1420" w:type="dxa"/>
            <w:vAlign w:val="bottom"/>
            <w:gridSpan w:val="3"/>
            <w:shd w:val="clear" w:color="auto" w:fill="CCEEFF"/>
          </w:tcPr>
          <w:p>
            <w:pPr>
              <w:ind w:left="860"/>
              <w:spacing w:after="0"/>
              <w:rPr>
                <w:sz w:val="20"/>
                <w:szCs w:val="20"/>
                <w:color w:val="auto"/>
              </w:rPr>
            </w:pPr>
            <w:r>
              <w:rPr>
                <w:rFonts w:ascii="Arial" w:cs="Arial" w:eastAsia="Arial" w:hAnsi="Arial"/>
                <w:sz w:val="18"/>
                <w:szCs w:val="18"/>
                <w:color w:val="auto"/>
              </w:rPr>
              <w:t>—</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313"/>
        </w:trPr>
        <w:tc>
          <w:tcPr>
            <w:tcW w:w="3740" w:type="dxa"/>
            <w:vAlign w:val="bottom"/>
          </w:tcPr>
          <w:p>
            <w:pPr>
              <w:spacing w:after="0"/>
              <w:rPr>
                <w:sz w:val="20"/>
                <w:szCs w:val="20"/>
                <w:color w:val="auto"/>
              </w:rPr>
            </w:pPr>
            <w:r>
              <w:rPr>
                <w:rFonts w:ascii="Arial" w:cs="Arial" w:eastAsia="Arial" w:hAnsi="Arial"/>
                <w:sz w:val="18"/>
                <w:szCs w:val="18"/>
                <w:b w:val="1"/>
                <w:bCs w:val="1"/>
                <w:color w:val="auto"/>
              </w:rPr>
              <w:t>Net income attributable to Cango Inc.’s</w:t>
            </w:r>
          </w:p>
        </w:tc>
        <w:tc>
          <w:tcPr>
            <w:tcW w:w="980" w:type="dxa"/>
            <w:vAlign w:val="bottom"/>
            <w:tcBorders>
              <w:top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980" w:type="dxa"/>
            <w:vAlign w:val="bottom"/>
            <w:tcBorders>
              <w:top w:val="single" w:sz="8" w:color="auto"/>
            </w:tcBorders>
          </w:tcPr>
          <w:p>
            <w:pPr>
              <w:spacing w:after="0"/>
              <w:rPr>
                <w:sz w:val="24"/>
                <w:szCs w:val="24"/>
                <w:color w:val="auto"/>
              </w:rPr>
            </w:pPr>
          </w:p>
        </w:tc>
        <w:tc>
          <w:tcPr>
            <w:tcW w:w="220" w:type="dxa"/>
            <w:vAlign w:val="bottom"/>
          </w:tcPr>
          <w:p>
            <w:pPr>
              <w:spacing w:after="0"/>
              <w:rPr>
                <w:sz w:val="24"/>
                <w:szCs w:val="24"/>
                <w:color w:val="auto"/>
              </w:rPr>
            </w:pPr>
          </w:p>
        </w:tc>
        <w:tc>
          <w:tcPr>
            <w:tcW w:w="60" w:type="dxa"/>
            <w:vAlign w:val="bottom"/>
            <w:tcBorders>
              <w:top w:val="single" w:sz="8" w:color="auto"/>
            </w:tcBorders>
          </w:tcPr>
          <w:p>
            <w:pPr>
              <w:spacing w:after="0"/>
              <w:rPr>
                <w:sz w:val="24"/>
                <w:szCs w:val="24"/>
                <w:color w:val="auto"/>
              </w:rPr>
            </w:pPr>
          </w:p>
        </w:tc>
        <w:tc>
          <w:tcPr>
            <w:tcW w:w="920" w:type="dxa"/>
            <w:vAlign w:val="bottom"/>
            <w:tcBorders>
              <w:top w:val="single" w:sz="8" w:color="auto"/>
            </w:tcBorders>
          </w:tcPr>
          <w:p>
            <w:pPr>
              <w:spacing w:after="0"/>
              <w:rPr>
                <w:sz w:val="24"/>
                <w:szCs w:val="24"/>
                <w:color w:val="auto"/>
              </w:rPr>
            </w:pPr>
          </w:p>
        </w:tc>
        <w:tc>
          <w:tcPr>
            <w:tcW w:w="220" w:type="dxa"/>
            <w:vAlign w:val="bottom"/>
          </w:tcPr>
          <w:p>
            <w:pPr>
              <w:spacing w:after="0"/>
              <w:rPr>
                <w:sz w:val="24"/>
                <w:szCs w:val="24"/>
                <w:color w:val="auto"/>
              </w:rPr>
            </w:pPr>
          </w:p>
        </w:tc>
        <w:tc>
          <w:tcPr>
            <w:tcW w:w="980" w:type="dxa"/>
            <w:vAlign w:val="bottom"/>
            <w:tcBorders>
              <w:top w:val="single" w:sz="8" w:color="auto"/>
            </w:tcBorders>
          </w:tcPr>
          <w:p>
            <w:pPr>
              <w:spacing w:after="0"/>
              <w:rPr>
                <w:sz w:val="24"/>
                <w:szCs w:val="24"/>
                <w:color w:val="auto"/>
              </w:rPr>
            </w:pPr>
          </w:p>
        </w:tc>
        <w:tc>
          <w:tcPr>
            <w:tcW w:w="220" w:type="dxa"/>
            <w:vAlign w:val="bottom"/>
          </w:tcPr>
          <w:p>
            <w:pPr>
              <w:spacing w:after="0"/>
              <w:rPr>
                <w:sz w:val="24"/>
                <w:szCs w:val="24"/>
                <w:color w:val="auto"/>
              </w:rPr>
            </w:pPr>
          </w:p>
        </w:tc>
        <w:tc>
          <w:tcPr>
            <w:tcW w:w="1140" w:type="dxa"/>
            <w:vAlign w:val="bottom"/>
            <w:tcBorders>
              <w:top w:val="single" w:sz="8" w:color="auto"/>
            </w:tcBorders>
          </w:tcPr>
          <w:p>
            <w:pPr>
              <w:spacing w:after="0"/>
              <w:rPr>
                <w:sz w:val="24"/>
                <w:szCs w:val="24"/>
                <w:color w:val="auto"/>
              </w:rPr>
            </w:pPr>
          </w:p>
        </w:tc>
        <w:tc>
          <w:tcPr>
            <w:tcW w:w="220" w:type="dxa"/>
            <w:vAlign w:val="bottom"/>
          </w:tcPr>
          <w:p>
            <w:pPr>
              <w:spacing w:after="0"/>
              <w:rPr>
                <w:sz w:val="24"/>
                <w:szCs w:val="24"/>
                <w:color w:val="auto"/>
              </w:rPr>
            </w:pPr>
          </w:p>
        </w:tc>
        <w:tc>
          <w:tcPr>
            <w:tcW w:w="60" w:type="dxa"/>
            <w:vAlign w:val="bottom"/>
            <w:tcBorders>
              <w:top w:val="single" w:sz="8" w:color="auto"/>
            </w:tcBorders>
          </w:tcPr>
          <w:p>
            <w:pPr>
              <w:spacing w:after="0"/>
              <w:rPr>
                <w:sz w:val="24"/>
                <w:szCs w:val="24"/>
                <w:color w:val="auto"/>
              </w:rPr>
            </w:pPr>
          </w:p>
        </w:tc>
        <w:tc>
          <w:tcPr>
            <w:tcW w:w="940" w:type="dxa"/>
            <w:vAlign w:val="bottom"/>
            <w:tcBorders>
              <w:top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3740" w:type="dxa"/>
            <w:vAlign w:val="bottom"/>
          </w:tcPr>
          <w:p>
            <w:pPr>
              <w:ind w:left="180"/>
              <w:spacing w:after="0"/>
              <w:rPr>
                <w:sz w:val="20"/>
                <w:szCs w:val="20"/>
                <w:color w:val="auto"/>
              </w:rPr>
            </w:pPr>
            <w:r>
              <w:rPr>
                <w:rFonts w:ascii="Arial" w:cs="Arial" w:eastAsia="Arial" w:hAnsi="Arial"/>
                <w:sz w:val="18"/>
                <w:szCs w:val="18"/>
                <w:b w:val="1"/>
                <w:bCs w:val="1"/>
                <w:color w:val="auto"/>
              </w:rPr>
              <w:t>shareholders</w:t>
            </w:r>
          </w:p>
        </w:tc>
        <w:tc>
          <w:tcPr>
            <w:tcW w:w="1000" w:type="dxa"/>
            <w:vAlign w:val="bottom"/>
            <w:gridSpan w:val="2"/>
          </w:tcPr>
          <w:p>
            <w:pPr>
              <w:jc w:val="right"/>
              <w:ind w:right="20"/>
              <w:spacing w:after="0"/>
              <w:rPr>
                <w:sz w:val="20"/>
                <w:szCs w:val="20"/>
                <w:color w:val="auto"/>
              </w:rPr>
            </w:pPr>
            <w:r>
              <w:rPr>
                <w:rFonts w:ascii="Arial" w:cs="Arial" w:eastAsia="Arial" w:hAnsi="Arial"/>
                <w:sz w:val="18"/>
                <w:szCs w:val="18"/>
                <w:b w:val="1"/>
                <w:bCs w:val="1"/>
                <w:color w:val="auto"/>
              </w:rPr>
              <w:t>70,231,065</w:t>
            </w:r>
          </w:p>
        </w:tc>
        <w:tc>
          <w:tcPr>
            <w:tcW w:w="200" w:type="dxa"/>
            <w:vAlign w:val="bottom"/>
          </w:tcPr>
          <w:p>
            <w:pPr>
              <w:spacing w:after="0"/>
              <w:rPr>
                <w:sz w:val="20"/>
                <w:szCs w:val="20"/>
                <w:color w:val="auto"/>
              </w:rPr>
            </w:pPr>
          </w:p>
        </w:tc>
        <w:tc>
          <w:tcPr>
            <w:tcW w:w="1200" w:type="dxa"/>
            <w:vAlign w:val="bottom"/>
            <w:gridSpan w:val="2"/>
          </w:tcPr>
          <w:p>
            <w:pPr>
              <w:jc w:val="right"/>
              <w:ind w:right="141"/>
              <w:spacing w:after="0"/>
              <w:rPr>
                <w:sz w:val="20"/>
                <w:szCs w:val="20"/>
                <w:color w:val="auto"/>
              </w:rPr>
            </w:pPr>
            <w:r>
              <w:rPr>
                <w:rFonts w:ascii="Arial" w:cs="Arial" w:eastAsia="Arial" w:hAnsi="Arial"/>
                <w:sz w:val="18"/>
                <w:szCs w:val="18"/>
                <w:b w:val="1"/>
                <w:bCs w:val="1"/>
                <w:color w:val="auto"/>
                <w:w w:val="95"/>
              </w:rPr>
              <w:t>557,737,863</w:t>
            </w:r>
          </w:p>
        </w:tc>
        <w:tc>
          <w:tcPr>
            <w:tcW w:w="60" w:type="dxa"/>
            <w:vAlign w:val="bottom"/>
          </w:tcPr>
          <w:p>
            <w:pPr>
              <w:spacing w:after="0"/>
              <w:rPr>
                <w:sz w:val="20"/>
                <w:szCs w:val="20"/>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w w:val="99"/>
              </w:rPr>
              <w:t>86,382,596</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31,898,583</w:t>
            </w:r>
          </w:p>
        </w:tc>
        <w:tc>
          <w:tcPr>
            <w:tcW w:w="136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283,866,328</w:t>
            </w:r>
          </w:p>
        </w:tc>
        <w:tc>
          <w:tcPr>
            <w:tcW w:w="60" w:type="dxa"/>
            <w:vAlign w:val="bottom"/>
          </w:tcPr>
          <w:p>
            <w:pPr>
              <w:spacing w:after="0"/>
              <w:rPr>
                <w:sz w:val="20"/>
                <w:szCs w:val="20"/>
                <w:color w:val="auto"/>
              </w:rPr>
            </w:pPr>
          </w:p>
        </w:tc>
        <w:tc>
          <w:tcPr>
            <w:tcW w:w="106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43,965,296</w:t>
            </w:r>
          </w:p>
        </w:tc>
        <w:tc>
          <w:tcPr>
            <w:tcW w:w="0" w:type="dxa"/>
            <w:vAlign w:val="bottom"/>
          </w:tcPr>
          <w:p>
            <w:pPr>
              <w:spacing w:after="0"/>
              <w:rPr>
                <w:sz w:val="1"/>
                <w:szCs w:val="1"/>
                <w:color w:val="auto"/>
              </w:rPr>
            </w:pPr>
          </w:p>
        </w:tc>
      </w:tr>
      <w:tr>
        <w:trPr>
          <w:trHeight w:val="115"/>
        </w:trPr>
        <w:tc>
          <w:tcPr>
            <w:tcW w:w="3740" w:type="dxa"/>
            <w:vAlign w:val="bottom"/>
          </w:tcPr>
          <w:p>
            <w:pPr>
              <w:spacing w:after="0"/>
              <w:rPr>
                <w:sz w:val="10"/>
                <w:szCs w:val="10"/>
                <w:color w:val="auto"/>
              </w:rPr>
            </w:pPr>
          </w:p>
        </w:tc>
        <w:tc>
          <w:tcPr>
            <w:tcW w:w="980" w:type="dxa"/>
            <w:vAlign w:val="bottom"/>
            <w:tcBorders>
              <w:top w:val="single" w:sz="8" w:color="auto"/>
            </w:tcBorders>
          </w:tcPr>
          <w:p>
            <w:pPr>
              <w:spacing w:after="0"/>
              <w:rPr>
                <w:sz w:val="10"/>
                <w:szCs w:val="10"/>
                <w:color w:val="auto"/>
              </w:rPr>
            </w:pPr>
          </w:p>
        </w:tc>
        <w:tc>
          <w:tcPr>
            <w:tcW w:w="2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980" w:type="dxa"/>
            <w:vAlign w:val="bottom"/>
            <w:tcBorders>
              <w:top w:val="single" w:sz="8" w:color="auto"/>
            </w:tcBorders>
          </w:tcPr>
          <w:p>
            <w:pPr>
              <w:spacing w:after="0"/>
              <w:rPr>
                <w:sz w:val="10"/>
                <w:szCs w:val="10"/>
                <w:color w:val="auto"/>
              </w:rPr>
            </w:pPr>
          </w:p>
        </w:tc>
        <w:tc>
          <w:tcPr>
            <w:tcW w:w="220" w:type="dxa"/>
            <w:vAlign w:val="bottom"/>
          </w:tcPr>
          <w:p>
            <w:pPr>
              <w:spacing w:after="0"/>
              <w:rPr>
                <w:sz w:val="10"/>
                <w:szCs w:val="10"/>
                <w:color w:val="auto"/>
              </w:rPr>
            </w:pPr>
          </w:p>
        </w:tc>
        <w:tc>
          <w:tcPr>
            <w:tcW w:w="60" w:type="dxa"/>
            <w:vAlign w:val="bottom"/>
            <w:tcBorders>
              <w:top w:val="single" w:sz="8" w:color="auto"/>
            </w:tcBorders>
          </w:tcPr>
          <w:p>
            <w:pPr>
              <w:spacing w:after="0"/>
              <w:rPr>
                <w:sz w:val="10"/>
                <w:szCs w:val="10"/>
                <w:color w:val="auto"/>
              </w:rPr>
            </w:pPr>
          </w:p>
        </w:tc>
        <w:tc>
          <w:tcPr>
            <w:tcW w:w="920" w:type="dxa"/>
            <w:vAlign w:val="bottom"/>
            <w:tcBorders>
              <w:top w:val="single" w:sz="8" w:color="auto"/>
            </w:tcBorders>
          </w:tcPr>
          <w:p>
            <w:pPr>
              <w:spacing w:after="0"/>
              <w:rPr>
                <w:sz w:val="10"/>
                <w:szCs w:val="10"/>
                <w:color w:val="auto"/>
              </w:rPr>
            </w:pPr>
          </w:p>
        </w:tc>
        <w:tc>
          <w:tcPr>
            <w:tcW w:w="220" w:type="dxa"/>
            <w:vAlign w:val="bottom"/>
          </w:tcPr>
          <w:p>
            <w:pPr>
              <w:spacing w:after="0"/>
              <w:rPr>
                <w:sz w:val="10"/>
                <w:szCs w:val="10"/>
                <w:color w:val="auto"/>
              </w:rPr>
            </w:pPr>
          </w:p>
        </w:tc>
        <w:tc>
          <w:tcPr>
            <w:tcW w:w="980" w:type="dxa"/>
            <w:vAlign w:val="bottom"/>
            <w:tcBorders>
              <w:top w:val="single" w:sz="8" w:color="auto"/>
            </w:tcBorders>
          </w:tcPr>
          <w:p>
            <w:pPr>
              <w:spacing w:after="0"/>
              <w:rPr>
                <w:sz w:val="10"/>
                <w:szCs w:val="10"/>
                <w:color w:val="auto"/>
              </w:rPr>
            </w:pPr>
          </w:p>
        </w:tc>
        <w:tc>
          <w:tcPr>
            <w:tcW w:w="220" w:type="dxa"/>
            <w:vAlign w:val="bottom"/>
          </w:tcPr>
          <w:p>
            <w:pPr>
              <w:spacing w:after="0"/>
              <w:rPr>
                <w:sz w:val="10"/>
                <w:szCs w:val="10"/>
                <w:color w:val="auto"/>
              </w:rPr>
            </w:pPr>
          </w:p>
        </w:tc>
        <w:tc>
          <w:tcPr>
            <w:tcW w:w="1140" w:type="dxa"/>
            <w:vAlign w:val="bottom"/>
            <w:tcBorders>
              <w:top w:val="single" w:sz="8" w:color="auto"/>
            </w:tcBorders>
          </w:tcPr>
          <w:p>
            <w:pPr>
              <w:spacing w:after="0"/>
              <w:rPr>
                <w:sz w:val="10"/>
                <w:szCs w:val="10"/>
                <w:color w:val="auto"/>
              </w:rPr>
            </w:pPr>
          </w:p>
        </w:tc>
        <w:tc>
          <w:tcPr>
            <w:tcW w:w="220" w:type="dxa"/>
            <w:vAlign w:val="bottom"/>
          </w:tcPr>
          <w:p>
            <w:pPr>
              <w:spacing w:after="0"/>
              <w:rPr>
                <w:sz w:val="10"/>
                <w:szCs w:val="10"/>
                <w:color w:val="auto"/>
              </w:rPr>
            </w:pPr>
          </w:p>
        </w:tc>
        <w:tc>
          <w:tcPr>
            <w:tcW w:w="60" w:type="dxa"/>
            <w:vAlign w:val="bottom"/>
            <w:tcBorders>
              <w:top w:val="single" w:sz="8" w:color="auto"/>
            </w:tcBorders>
          </w:tcPr>
          <w:p>
            <w:pPr>
              <w:spacing w:after="0"/>
              <w:rPr>
                <w:sz w:val="10"/>
                <w:szCs w:val="10"/>
                <w:color w:val="auto"/>
              </w:rPr>
            </w:pPr>
          </w:p>
        </w:tc>
        <w:tc>
          <w:tcPr>
            <w:tcW w:w="940" w:type="dxa"/>
            <w:vAlign w:val="bottom"/>
            <w:tcBorders>
              <w:top w:val="single" w:sz="8" w:color="auto"/>
            </w:tcBorders>
          </w:tcPr>
          <w:p>
            <w:pPr>
              <w:spacing w:after="0"/>
              <w:rPr>
                <w:sz w:val="10"/>
                <w:szCs w:val="10"/>
                <w:color w:val="auto"/>
              </w:rPr>
            </w:pP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98"/>
        </w:trPr>
        <w:tc>
          <w:tcPr>
            <w:tcW w:w="3740" w:type="dxa"/>
            <w:vAlign w:val="bottom"/>
            <w:shd w:val="clear" w:color="auto" w:fill="CCEEFF"/>
          </w:tcPr>
          <w:p>
            <w:pPr>
              <w:spacing w:after="0" w:line="198" w:lineRule="exact"/>
              <w:rPr>
                <w:sz w:val="20"/>
                <w:szCs w:val="20"/>
                <w:color w:val="auto"/>
              </w:rPr>
            </w:pPr>
            <w:r>
              <w:rPr>
                <w:rFonts w:ascii="Arial" w:cs="Arial" w:eastAsia="Arial" w:hAnsi="Arial"/>
                <w:sz w:val="18"/>
                <w:szCs w:val="18"/>
                <w:b w:val="1"/>
                <w:bCs w:val="1"/>
                <w:color w:val="auto"/>
              </w:rPr>
              <w:t>Earnings per ADS attributable to ordinary</w:t>
            </w:r>
          </w:p>
        </w:tc>
        <w:tc>
          <w:tcPr>
            <w:tcW w:w="98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94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3740" w:type="dxa"/>
            <w:vAlign w:val="bottom"/>
            <w:shd w:val="clear" w:color="auto" w:fill="CCEEFF"/>
          </w:tcPr>
          <w:p>
            <w:pPr>
              <w:ind w:left="180"/>
              <w:spacing w:after="0"/>
              <w:rPr>
                <w:sz w:val="20"/>
                <w:szCs w:val="20"/>
                <w:color w:val="auto"/>
              </w:rPr>
            </w:pPr>
            <w:r>
              <w:rPr>
                <w:rFonts w:ascii="Arial" w:cs="Arial" w:eastAsia="Arial" w:hAnsi="Arial"/>
                <w:sz w:val="18"/>
                <w:szCs w:val="18"/>
                <w:b w:val="1"/>
                <w:bCs w:val="1"/>
                <w:color w:val="auto"/>
              </w:rPr>
              <w:t>shareholders:</w:t>
            </w:r>
          </w:p>
        </w:tc>
        <w:tc>
          <w:tcPr>
            <w:tcW w:w="980" w:type="dxa"/>
            <w:vAlign w:val="bottom"/>
            <w:shd w:val="clear" w:color="auto" w:fill="CCEEFF"/>
          </w:tcPr>
          <w:p>
            <w:pPr>
              <w:spacing w:after="0"/>
              <w:rPr>
                <w:sz w:val="20"/>
                <w:szCs w:val="20"/>
                <w:color w:val="auto"/>
              </w:rPr>
            </w:pPr>
          </w:p>
        </w:tc>
        <w:tc>
          <w:tcPr>
            <w:tcW w:w="2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98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60" w:type="dxa"/>
            <w:vAlign w:val="bottom"/>
            <w:shd w:val="clear" w:color="auto" w:fill="CCEEFF"/>
          </w:tcPr>
          <w:p>
            <w:pPr>
              <w:spacing w:after="0"/>
              <w:rPr>
                <w:sz w:val="20"/>
                <w:szCs w:val="20"/>
                <w:color w:val="auto"/>
              </w:rPr>
            </w:pPr>
          </w:p>
        </w:tc>
        <w:tc>
          <w:tcPr>
            <w:tcW w:w="92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98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14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60" w:type="dxa"/>
            <w:vAlign w:val="bottom"/>
            <w:shd w:val="clear" w:color="auto" w:fill="CCEEFF"/>
          </w:tcPr>
          <w:p>
            <w:pPr>
              <w:spacing w:after="0"/>
              <w:rPr>
                <w:sz w:val="20"/>
                <w:szCs w:val="20"/>
                <w:color w:val="auto"/>
              </w:rPr>
            </w:pPr>
          </w:p>
        </w:tc>
        <w:tc>
          <w:tcPr>
            <w:tcW w:w="94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3740" w:type="dxa"/>
            <w:vAlign w:val="bottom"/>
          </w:tcPr>
          <w:p>
            <w:pPr>
              <w:spacing w:after="0"/>
              <w:rPr>
                <w:sz w:val="20"/>
                <w:szCs w:val="20"/>
                <w:color w:val="auto"/>
              </w:rPr>
            </w:pPr>
            <w:r>
              <w:rPr>
                <w:rFonts w:ascii="Arial" w:cs="Arial" w:eastAsia="Arial" w:hAnsi="Arial"/>
                <w:sz w:val="18"/>
                <w:szCs w:val="18"/>
                <w:color w:val="auto"/>
              </w:rPr>
              <w:t>Basic</w:t>
            </w:r>
          </w:p>
        </w:tc>
        <w:tc>
          <w:tcPr>
            <w:tcW w:w="1000" w:type="dxa"/>
            <w:vAlign w:val="bottom"/>
            <w:gridSpan w:val="2"/>
          </w:tcPr>
          <w:p>
            <w:pPr>
              <w:jc w:val="right"/>
              <w:ind w:right="20"/>
              <w:spacing w:after="0"/>
              <w:rPr>
                <w:sz w:val="20"/>
                <w:szCs w:val="20"/>
                <w:color w:val="auto"/>
              </w:rPr>
            </w:pPr>
            <w:r>
              <w:rPr>
                <w:rFonts w:ascii="Arial" w:cs="Arial" w:eastAsia="Arial" w:hAnsi="Arial"/>
                <w:sz w:val="18"/>
                <w:szCs w:val="18"/>
                <w:color w:val="auto"/>
              </w:rPr>
              <w:t>0.47</w:t>
            </w:r>
          </w:p>
        </w:tc>
        <w:tc>
          <w:tcPr>
            <w:tcW w:w="200" w:type="dxa"/>
            <w:vAlign w:val="bottom"/>
          </w:tcPr>
          <w:p>
            <w:pPr>
              <w:spacing w:after="0"/>
              <w:rPr>
                <w:sz w:val="18"/>
                <w:szCs w:val="18"/>
                <w:color w:val="auto"/>
              </w:rPr>
            </w:pPr>
          </w:p>
        </w:tc>
        <w:tc>
          <w:tcPr>
            <w:tcW w:w="1200" w:type="dxa"/>
            <w:vAlign w:val="bottom"/>
            <w:gridSpan w:val="2"/>
          </w:tcPr>
          <w:p>
            <w:pPr>
              <w:jc w:val="right"/>
              <w:ind w:right="141"/>
              <w:spacing w:after="0"/>
              <w:rPr>
                <w:sz w:val="20"/>
                <w:szCs w:val="20"/>
                <w:color w:val="auto"/>
              </w:rPr>
            </w:pPr>
            <w:r>
              <w:rPr>
                <w:rFonts w:ascii="Arial" w:cs="Arial" w:eastAsia="Arial" w:hAnsi="Arial"/>
                <w:sz w:val="18"/>
                <w:szCs w:val="18"/>
                <w:color w:val="auto"/>
              </w:rPr>
              <w:t>3.85</w:t>
            </w:r>
          </w:p>
        </w:tc>
        <w:tc>
          <w:tcPr>
            <w:tcW w:w="60" w:type="dxa"/>
            <w:vAlign w:val="bottom"/>
          </w:tcPr>
          <w:p>
            <w:pPr>
              <w:spacing w:after="0"/>
              <w:rPr>
                <w:sz w:val="18"/>
                <w:szCs w:val="18"/>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8"/>
                <w:szCs w:val="18"/>
                <w:color w:val="auto"/>
              </w:rPr>
              <w:t>0.60</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0.21</w:t>
            </w: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1.93</w:t>
            </w:r>
          </w:p>
        </w:tc>
        <w:tc>
          <w:tcPr>
            <w:tcW w:w="60" w:type="dxa"/>
            <w:vAlign w:val="bottom"/>
          </w:tcPr>
          <w:p>
            <w:pPr>
              <w:spacing w:after="0"/>
              <w:rPr>
                <w:sz w:val="18"/>
                <w:szCs w:val="18"/>
                <w:color w:val="auto"/>
              </w:rPr>
            </w:pPr>
          </w:p>
        </w:tc>
        <w:tc>
          <w:tcPr>
            <w:tcW w:w="1060" w:type="dxa"/>
            <w:vAlign w:val="bottom"/>
            <w:gridSpan w:val="2"/>
          </w:tcPr>
          <w:p>
            <w:pPr>
              <w:jc w:val="right"/>
              <w:ind w:right="120"/>
              <w:spacing w:after="0"/>
              <w:rPr>
                <w:sz w:val="20"/>
                <w:szCs w:val="20"/>
                <w:color w:val="auto"/>
              </w:rPr>
            </w:pPr>
            <w:r>
              <w:rPr>
                <w:rFonts w:ascii="Arial" w:cs="Arial" w:eastAsia="Arial" w:hAnsi="Arial"/>
                <w:sz w:val="18"/>
                <w:szCs w:val="18"/>
                <w:color w:val="auto"/>
              </w:rPr>
              <w:t>0.30</w:t>
            </w:r>
          </w:p>
        </w:tc>
        <w:tc>
          <w:tcPr>
            <w:tcW w:w="0" w:type="dxa"/>
            <w:vAlign w:val="bottom"/>
          </w:tcPr>
          <w:p>
            <w:pPr>
              <w:spacing w:after="0"/>
              <w:rPr>
                <w:sz w:val="1"/>
                <w:szCs w:val="1"/>
                <w:color w:val="auto"/>
              </w:rPr>
            </w:pPr>
          </w:p>
        </w:tc>
      </w:tr>
      <w:tr>
        <w:trPr>
          <w:trHeight w:val="216"/>
        </w:trPr>
        <w:tc>
          <w:tcPr>
            <w:tcW w:w="3740" w:type="dxa"/>
            <w:vAlign w:val="bottom"/>
            <w:shd w:val="clear" w:color="auto" w:fill="CCEEFF"/>
          </w:tcPr>
          <w:p>
            <w:pPr>
              <w:spacing w:after="0"/>
              <w:rPr>
                <w:sz w:val="20"/>
                <w:szCs w:val="20"/>
                <w:color w:val="auto"/>
              </w:rPr>
            </w:pPr>
            <w:r>
              <w:rPr>
                <w:rFonts w:ascii="Arial" w:cs="Arial" w:eastAsia="Arial" w:hAnsi="Arial"/>
                <w:sz w:val="18"/>
                <w:szCs w:val="18"/>
                <w:color w:val="auto"/>
              </w:rPr>
              <w:t>Diluted</w:t>
            </w: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0.47</w:t>
            </w:r>
          </w:p>
        </w:tc>
        <w:tc>
          <w:tcPr>
            <w:tcW w:w="20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3.75</w:t>
            </w:r>
          </w:p>
        </w:tc>
        <w:tc>
          <w:tcPr>
            <w:tcW w:w="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0.58</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0.21</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1.89</w:t>
            </w:r>
          </w:p>
        </w:tc>
        <w:tc>
          <w:tcPr>
            <w:tcW w:w="6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0.29</w:t>
            </w:r>
          </w:p>
        </w:tc>
        <w:tc>
          <w:tcPr>
            <w:tcW w:w="0" w:type="dxa"/>
            <w:vAlign w:val="bottom"/>
          </w:tcPr>
          <w:p>
            <w:pPr>
              <w:spacing w:after="0"/>
              <w:rPr>
                <w:sz w:val="1"/>
                <w:szCs w:val="1"/>
                <w:color w:val="auto"/>
              </w:rPr>
            </w:pPr>
          </w:p>
        </w:tc>
      </w:tr>
      <w:tr>
        <w:trPr>
          <w:trHeight w:val="306"/>
        </w:trPr>
        <w:tc>
          <w:tcPr>
            <w:tcW w:w="3740" w:type="dxa"/>
            <w:vAlign w:val="bottom"/>
          </w:tcPr>
          <w:p>
            <w:pPr>
              <w:spacing w:after="0"/>
              <w:rPr>
                <w:sz w:val="20"/>
                <w:szCs w:val="20"/>
                <w:color w:val="auto"/>
              </w:rPr>
            </w:pPr>
            <w:r>
              <w:rPr>
                <w:rFonts w:ascii="Arial" w:cs="Arial" w:eastAsia="Arial" w:hAnsi="Arial"/>
                <w:sz w:val="18"/>
                <w:szCs w:val="18"/>
                <w:b w:val="1"/>
                <w:bCs w:val="1"/>
                <w:color w:val="auto"/>
              </w:rPr>
              <w:t>Weighted average ADS used to compute</w:t>
            </w:r>
          </w:p>
        </w:tc>
        <w:tc>
          <w:tcPr>
            <w:tcW w:w="9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3740" w:type="dxa"/>
            <w:vAlign w:val="bottom"/>
          </w:tcPr>
          <w:p>
            <w:pPr>
              <w:ind w:left="180"/>
              <w:spacing w:after="0"/>
              <w:rPr>
                <w:sz w:val="20"/>
                <w:szCs w:val="20"/>
                <w:color w:val="auto"/>
              </w:rPr>
            </w:pPr>
            <w:r>
              <w:rPr>
                <w:rFonts w:ascii="Arial" w:cs="Arial" w:eastAsia="Arial" w:hAnsi="Arial"/>
                <w:sz w:val="18"/>
                <w:szCs w:val="18"/>
                <w:b w:val="1"/>
                <w:bCs w:val="1"/>
                <w:color w:val="auto"/>
              </w:rPr>
              <w:t>earnings per ADS attributable to ordinary</w:t>
            </w:r>
          </w:p>
        </w:tc>
        <w:tc>
          <w:tcPr>
            <w:tcW w:w="9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740" w:type="dxa"/>
            <w:vAlign w:val="bottom"/>
          </w:tcPr>
          <w:p>
            <w:pPr>
              <w:ind w:left="180"/>
              <w:spacing w:after="0"/>
              <w:rPr>
                <w:sz w:val="20"/>
                <w:szCs w:val="20"/>
                <w:color w:val="auto"/>
              </w:rPr>
            </w:pPr>
            <w:r>
              <w:rPr>
                <w:rFonts w:ascii="Arial" w:cs="Arial" w:eastAsia="Arial" w:hAnsi="Arial"/>
                <w:sz w:val="18"/>
                <w:szCs w:val="18"/>
                <w:b w:val="1"/>
                <w:bCs w:val="1"/>
                <w:color w:val="auto"/>
              </w:rPr>
              <w:t>shareholders:</w:t>
            </w:r>
          </w:p>
        </w:tc>
        <w:tc>
          <w:tcPr>
            <w:tcW w:w="9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14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9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3740" w:type="dxa"/>
            <w:vAlign w:val="bottom"/>
            <w:shd w:val="clear" w:color="auto" w:fill="CCEEFF"/>
          </w:tcPr>
          <w:p>
            <w:pPr>
              <w:spacing w:after="0"/>
              <w:rPr>
                <w:sz w:val="20"/>
                <w:szCs w:val="20"/>
                <w:color w:val="auto"/>
              </w:rPr>
            </w:pPr>
            <w:r>
              <w:rPr>
                <w:rFonts w:ascii="Arial" w:cs="Arial" w:eastAsia="Arial" w:hAnsi="Arial"/>
                <w:sz w:val="18"/>
                <w:szCs w:val="18"/>
                <w:color w:val="auto"/>
              </w:rPr>
              <w:t>Basic</w:t>
            </w: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w w:val="95"/>
              </w:rPr>
              <w:t>150,605,540</w:t>
            </w:r>
          </w:p>
        </w:tc>
        <w:tc>
          <w:tcPr>
            <w:tcW w:w="20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w w:val="95"/>
              </w:rPr>
              <w:t>144,829,122</w:t>
            </w:r>
          </w:p>
        </w:tc>
        <w:tc>
          <w:tcPr>
            <w:tcW w:w="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w w:val="89"/>
              </w:rPr>
              <w:t>144,829,122</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w w:val="95"/>
              </w:rPr>
              <w:t>150,789,465</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147,012,155</w:t>
            </w:r>
          </w:p>
        </w:tc>
        <w:tc>
          <w:tcPr>
            <w:tcW w:w="6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w w:val="91"/>
              </w:rPr>
              <w:t>147,012,155</w:t>
            </w:r>
          </w:p>
        </w:tc>
        <w:tc>
          <w:tcPr>
            <w:tcW w:w="0" w:type="dxa"/>
            <w:vAlign w:val="bottom"/>
          </w:tcPr>
          <w:p>
            <w:pPr>
              <w:spacing w:after="0"/>
              <w:rPr>
                <w:sz w:val="1"/>
                <w:szCs w:val="1"/>
                <w:color w:val="auto"/>
              </w:rPr>
            </w:pPr>
          </w:p>
        </w:tc>
      </w:tr>
      <w:tr>
        <w:trPr>
          <w:trHeight w:val="230"/>
        </w:trPr>
        <w:tc>
          <w:tcPr>
            <w:tcW w:w="3740" w:type="dxa"/>
            <w:vAlign w:val="bottom"/>
          </w:tcPr>
          <w:p>
            <w:pPr>
              <w:spacing w:after="0"/>
              <w:rPr>
                <w:sz w:val="20"/>
                <w:szCs w:val="20"/>
                <w:color w:val="auto"/>
              </w:rPr>
            </w:pPr>
            <w:r>
              <w:rPr>
                <w:rFonts w:ascii="Arial" w:cs="Arial" w:eastAsia="Arial" w:hAnsi="Arial"/>
                <w:sz w:val="18"/>
                <w:szCs w:val="18"/>
                <w:color w:val="auto"/>
              </w:rPr>
              <w:t>Diluted</w:t>
            </w:r>
          </w:p>
        </w:tc>
        <w:tc>
          <w:tcPr>
            <w:tcW w:w="1000" w:type="dxa"/>
            <w:vAlign w:val="bottom"/>
            <w:gridSpan w:val="2"/>
          </w:tcPr>
          <w:p>
            <w:pPr>
              <w:jc w:val="right"/>
              <w:ind w:right="20"/>
              <w:spacing w:after="0"/>
              <w:rPr>
                <w:sz w:val="20"/>
                <w:szCs w:val="20"/>
                <w:color w:val="auto"/>
              </w:rPr>
            </w:pPr>
            <w:r>
              <w:rPr>
                <w:rFonts w:ascii="Arial" w:cs="Arial" w:eastAsia="Arial" w:hAnsi="Arial"/>
                <w:sz w:val="18"/>
                <w:szCs w:val="18"/>
                <w:color w:val="auto"/>
                <w:w w:val="95"/>
              </w:rPr>
              <w:t>150,819,440</w:t>
            </w:r>
          </w:p>
        </w:tc>
        <w:tc>
          <w:tcPr>
            <w:tcW w:w="200" w:type="dxa"/>
            <w:vAlign w:val="bottom"/>
          </w:tcPr>
          <w:p>
            <w:pPr>
              <w:spacing w:after="0"/>
              <w:rPr>
                <w:sz w:val="20"/>
                <w:szCs w:val="20"/>
                <w:color w:val="auto"/>
              </w:rPr>
            </w:pPr>
          </w:p>
        </w:tc>
        <w:tc>
          <w:tcPr>
            <w:tcW w:w="1200" w:type="dxa"/>
            <w:vAlign w:val="bottom"/>
            <w:gridSpan w:val="2"/>
          </w:tcPr>
          <w:p>
            <w:pPr>
              <w:jc w:val="right"/>
              <w:ind w:right="141"/>
              <w:spacing w:after="0"/>
              <w:rPr>
                <w:sz w:val="20"/>
                <w:szCs w:val="20"/>
                <w:color w:val="auto"/>
              </w:rPr>
            </w:pPr>
            <w:r>
              <w:rPr>
                <w:rFonts w:ascii="Arial" w:cs="Arial" w:eastAsia="Arial" w:hAnsi="Arial"/>
                <w:sz w:val="18"/>
                <w:szCs w:val="18"/>
                <w:color w:val="auto"/>
                <w:w w:val="95"/>
              </w:rPr>
              <w:t>148,579,948</w:t>
            </w:r>
          </w:p>
        </w:tc>
        <w:tc>
          <w:tcPr>
            <w:tcW w:w="60" w:type="dxa"/>
            <w:vAlign w:val="bottom"/>
          </w:tcPr>
          <w:p>
            <w:pPr>
              <w:spacing w:after="0"/>
              <w:rPr>
                <w:sz w:val="20"/>
                <w:szCs w:val="20"/>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8"/>
                <w:szCs w:val="18"/>
                <w:color w:val="auto"/>
                <w:w w:val="89"/>
              </w:rPr>
              <w:t>148,579,948</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w w:val="95"/>
              </w:rPr>
              <w:t>151,899,153</w:t>
            </w: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150,005,282</w:t>
            </w:r>
          </w:p>
        </w:tc>
        <w:tc>
          <w:tcPr>
            <w:tcW w:w="60" w:type="dxa"/>
            <w:vAlign w:val="bottom"/>
          </w:tcPr>
          <w:p>
            <w:pPr>
              <w:spacing w:after="0"/>
              <w:rPr>
                <w:sz w:val="20"/>
                <w:szCs w:val="20"/>
                <w:color w:val="auto"/>
              </w:rPr>
            </w:pPr>
          </w:p>
        </w:tc>
        <w:tc>
          <w:tcPr>
            <w:tcW w:w="1060" w:type="dxa"/>
            <w:vAlign w:val="bottom"/>
            <w:gridSpan w:val="2"/>
          </w:tcPr>
          <w:p>
            <w:pPr>
              <w:jc w:val="right"/>
              <w:ind w:right="120"/>
              <w:spacing w:after="0"/>
              <w:rPr>
                <w:sz w:val="20"/>
                <w:szCs w:val="20"/>
                <w:color w:val="auto"/>
              </w:rPr>
            </w:pPr>
            <w:r>
              <w:rPr>
                <w:rFonts w:ascii="Arial" w:cs="Arial" w:eastAsia="Arial" w:hAnsi="Arial"/>
                <w:sz w:val="18"/>
                <w:szCs w:val="18"/>
                <w:color w:val="auto"/>
                <w:w w:val="91"/>
              </w:rPr>
              <w:t>150,005,282</w:t>
            </w:r>
          </w:p>
        </w:tc>
        <w:tc>
          <w:tcPr>
            <w:tcW w:w="0" w:type="dxa"/>
            <w:vAlign w:val="bottom"/>
          </w:tcPr>
          <w:p>
            <w:pPr>
              <w:spacing w:after="0"/>
              <w:rPr>
                <w:sz w:val="1"/>
                <w:szCs w:val="1"/>
                <w:color w:val="auto"/>
              </w:rPr>
            </w:pPr>
          </w:p>
        </w:tc>
      </w:tr>
      <w:tr>
        <w:trPr>
          <w:trHeight w:val="94"/>
        </w:trPr>
        <w:tc>
          <w:tcPr>
            <w:tcW w:w="3740" w:type="dxa"/>
            <w:vAlign w:val="bottom"/>
          </w:tcPr>
          <w:p>
            <w:pPr>
              <w:spacing w:after="0"/>
              <w:rPr>
                <w:sz w:val="8"/>
                <w:szCs w:val="8"/>
                <w:color w:val="auto"/>
              </w:rPr>
            </w:pPr>
          </w:p>
        </w:tc>
        <w:tc>
          <w:tcPr>
            <w:tcW w:w="980" w:type="dxa"/>
            <w:vAlign w:val="bottom"/>
          </w:tcPr>
          <w:p>
            <w:pPr>
              <w:spacing w:after="0"/>
              <w:rPr>
                <w:sz w:val="8"/>
                <w:szCs w:val="8"/>
                <w:color w:val="auto"/>
              </w:rPr>
            </w:pPr>
          </w:p>
        </w:tc>
        <w:tc>
          <w:tcPr>
            <w:tcW w:w="20" w:type="dxa"/>
            <w:vAlign w:val="bottom"/>
          </w:tcPr>
          <w:p>
            <w:pPr>
              <w:spacing w:after="0"/>
              <w:rPr>
                <w:sz w:val="8"/>
                <w:szCs w:val="8"/>
                <w:color w:val="auto"/>
              </w:rPr>
            </w:pPr>
          </w:p>
        </w:tc>
        <w:tc>
          <w:tcPr>
            <w:tcW w:w="200" w:type="dxa"/>
            <w:vAlign w:val="bottom"/>
          </w:tcPr>
          <w:p>
            <w:pPr>
              <w:spacing w:after="0"/>
              <w:rPr>
                <w:sz w:val="8"/>
                <w:szCs w:val="8"/>
                <w:color w:val="auto"/>
              </w:rPr>
            </w:pPr>
          </w:p>
        </w:tc>
        <w:tc>
          <w:tcPr>
            <w:tcW w:w="980" w:type="dxa"/>
            <w:vAlign w:val="bottom"/>
          </w:tcPr>
          <w:p>
            <w:pPr>
              <w:spacing w:after="0"/>
              <w:rPr>
                <w:sz w:val="8"/>
                <w:szCs w:val="8"/>
                <w:color w:val="auto"/>
              </w:rPr>
            </w:pPr>
          </w:p>
        </w:tc>
        <w:tc>
          <w:tcPr>
            <w:tcW w:w="220" w:type="dxa"/>
            <w:vAlign w:val="bottom"/>
          </w:tcPr>
          <w:p>
            <w:pPr>
              <w:spacing w:after="0"/>
              <w:rPr>
                <w:sz w:val="8"/>
                <w:szCs w:val="8"/>
                <w:color w:val="auto"/>
              </w:rPr>
            </w:pPr>
          </w:p>
        </w:tc>
        <w:tc>
          <w:tcPr>
            <w:tcW w:w="60" w:type="dxa"/>
            <w:vAlign w:val="bottom"/>
          </w:tcPr>
          <w:p>
            <w:pPr>
              <w:spacing w:after="0"/>
              <w:rPr>
                <w:sz w:val="8"/>
                <w:szCs w:val="8"/>
                <w:color w:val="auto"/>
              </w:rPr>
            </w:pPr>
          </w:p>
        </w:tc>
        <w:tc>
          <w:tcPr>
            <w:tcW w:w="920" w:type="dxa"/>
            <w:vAlign w:val="bottom"/>
          </w:tcPr>
          <w:p>
            <w:pPr>
              <w:spacing w:after="0"/>
              <w:rPr>
                <w:sz w:val="8"/>
                <w:szCs w:val="8"/>
                <w:color w:val="auto"/>
              </w:rPr>
            </w:pPr>
          </w:p>
        </w:tc>
        <w:tc>
          <w:tcPr>
            <w:tcW w:w="220" w:type="dxa"/>
            <w:vAlign w:val="bottom"/>
          </w:tcPr>
          <w:p>
            <w:pPr>
              <w:spacing w:after="0"/>
              <w:rPr>
                <w:sz w:val="8"/>
                <w:szCs w:val="8"/>
                <w:color w:val="auto"/>
              </w:rPr>
            </w:pPr>
          </w:p>
        </w:tc>
        <w:tc>
          <w:tcPr>
            <w:tcW w:w="980" w:type="dxa"/>
            <w:vAlign w:val="bottom"/>
          </w:tcPr>
          <w:p>
            <w:pPr>
              <w:spacing w:after="0"/>
              <w:rPr>
                <w:sz w:val="8"/>
                <w:szCs w:val="8"/>
                <w:color w:val="auto"/>
              </w:rPr>
            </w:pPr>
          </w:p>
        </w:tc>
        <w:tc>
          <w:tcPr>
            <w:tcW w:w="220" w:type="dxa"/>
            <w:vAlign w:val="bottom"/>
          </w:tcPr>
          <w:p>
            <w:pPr>
              <w:spacing w:after="0"/>
              <w:rPr>
                <w:sz w:val="8"/>
                <w:szCs w:val="8"/>
                <w:color w:val="auto"/>
              </w:rPr>
            </w:pPr>
          </w:p>
        </w:tc>
        <w:tc>
          <w:tcPr>
            <w:tcW w:w="1140" w:type="dxa"/>
            <w:vAlign w:val="bottom"/>
          </w:tcPr>
          <w:p>
            <w:pPr>
              <w:spacing w:after="0"/>
              <w:rPr>
                <w:sz w:val="8"/>
                <w:szCs w:val="8"/>
                <w:color w:val="auto"/>
              </w:rPr>
            </w:pPr>
          </w:p>
        </w:tc>
        <w:tc>
          <w:tcPr>
            <w:tcW w:w="220" w:type="dxa"/>
            <w:vAlign w:val="bottom"/>
          </w:tcPr>
          <w:p>
            <w:pPr>
              <w:spacing w:after="0"/>
              <w:rPr>
                <w:sz w:val="8"/>
                <w:szCs w:val="8"/>
                <w:color w:val="auto"/>
              </w:rPr>
            </w:pPr>
          </w:p>
        </w:tc>
        <w:tc>
          <w:tcPr>
            <w:tcW w:w="60" w:type="dxa"/>
            <w:vAlign w:val="bottom"/>
          </w:tcPr>
          <w:p>
            <w:pPr>
              <w:spacing w:after="0"/>
              <w:rPr>
                <w:sz w:val="8"/>
                <w:szCs w:val="8"/>
                <w:color w:val="auto"/>
              </w:rPr>
            </w:pPr>
          </w:p>
        </w:tc>
        <w:tc>
          <w:tcPr>
            <w:tcW w:w="940" w:type="dxa"/>
            <w:vAlign w:val="bottom"/>
          </w:tcPr>
          <w:p>
            <w:pPr>
              <w:spacing w:after="0"/>
              <w:rPr>
                <w:sz w:val="8"/>
                <w:szCs w:val="8"/>
                <w:color w:val="auto"/>
              </w:rPr>
            </w:pPr>
          </w:p>
        </w:tc>
        <w:tc>
          <w:tcPr>
            <w:tcW w:w="1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216"/>
        </w:trPr>
        <w:tc>
          <w:tcPr>
            <w:tcW w:w="37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w w:val="93"/>
              </w:rPr>
              <w:t>Other comprehensive (loss) income, net of tax</w:t>
            </w:r>
          </w:p>
        </w:tc>
        <w:tc>
          <w:tcPr>
            <w:tcW w:w="980" w:type="dxa"/>
            <w:vAlign w:val="bottom"/>
            <w:tcBorders>
              <w:bottom w:val="single" w:sz="8" w:color="auto"/>
            </w:tcBorders>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80" w:type="dxa"/>
            <w:vAlign w:val="bottom"/>
            <w:tcBorders>
              <w:bottom w:val="single" w:sz="8" w:color="auto"/>
            </w:tcBorders>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 w:type="dxa"/>
            <w:vAlign w:val="bottom"/>
            <w:tcBorders>
              <w:bottom w:val="single" w:sz="8" w:color="auto"/>
            </w:tcBorders>
            <w:shd w:val="clear" w:color="auto" w:fill="CCEEFF"/>
          </w:tcPr>
          <w:p>
            <w:pPr>
              <w:spacing w:after="0"/>
              <w:rPr>
                <w:sz w:val="18"/>
                <w:szCs w:val="18"/>
                <w:color w:val="auto"/>
              </w:rPr>
            </w:pPr>
          </w:p>
        </w:tc>
        <w:tc>
          <w:tcPr>
            <w:tcW w:w="920" w:type="dxa"/>
            <w:vAlign w:val="bottom"/>
            <w:tcBorders>
              <w:bottom w:val="single" w:sz="8" w:color="auto"/>
            </w:tcBorders>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80" w:type="dxa"/>
            <w:vAlign w:val="bottom"/>
            <w:tcBorders>
              <w:bottom w:val="single" w:sz="8" w:color="auto"/>
            </w:tcBorders>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40" w:type="dxa"/>
            <w:vAlign w:val="bottom"/>
            <w:tcBorders>
              <w:bottom w:val="single" w:sz="8" w:color="auto"/>
            </w:tcBorders>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 w:type="dxa"/>
            <w:vAlign w:val="bottom"/>
            <w:tcBorders>
              <w:bottom w:val="single" w:sz="8" w:color="auto"/>
            </w:tcBorders>
            <w:shd w:val="clear" w:color="auto" w:fill="CCEEFF"/>
          </w:tcPr>
          <w:p>
            <w:pPr>
              <w:spacing w:after="0"/>
              <w:rPr>
                <w:sz w:val="18"/>
                <w:szCs w:val="18"/>
                <w:color w:val="auto"/>
              </w:rPr>
            </w:pPr>
          </w:p>
        </w:tc>
        <w:tc>
          <w:tcPr>
            <w:tcW w:w="940" w:type="dxa"/>
            <w:vAlign w:val="bottom"/>
            <w:tcBorders>
              <w:bottom w:val="single" w:sz="8" w:color="auto"/>
            </w:tcBorders>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3740" w:type="dxa"/>
            <w:vAlign w:val="bottom"/>
          </w:tcPr>
          <w:p>
            <w:pPr>
              <w:spacing w:after="0"/>
              <w:rPr>
                <w:sz w:val="20"/>
                <w:szCs w:val="20"/>
                <w:color w:val="auto"/>
              </w:rPr>
            </w:pPr>
            <w:r>
              <w:rPr>
                <w:rFonts w:ascii="Arial" w:cs="Arial" w:eastAsia="Arial" w:hAnsi="Arial"/>
                <w:sz w:val="18"/>
                <w:szCs w:val="18"/>
                <w:color w:val="auto"/>
              </w:rPr>
              <w:t>Foreign currency translation adjustment</w:t>
            </w:r>
          </w:p>
        </w:tc>
        <w:tc>
          <w:tcPr>
            <w:tcW w:w="9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(5,444,800)</w:t>
            </w:r>
          </w:p>
        </w:tc>
        <w:tc>
          <w:tcPr>
            <w:tcW w:w="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9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w w:val="99"/>
              </w:rPr>
              <w:t>(42,140,854</w:t>
            </w:r>
          </w:p>
        </w:tc>
        <w:tc>
          <w:tcPr>
            <w:tcW w:w="220" w:type="dxa"/>
            <w:vAlign w:val="bottom"/>
          </w:tcPr>
          <w:p>
            <w:pPr>
              <w:jc w:val="right"/>
              <w:ind w:right="81"/>
              <w:spacing w:after="0"/>
              <w:rPr>
                <w:sz w:val="20"/>
                <w:szCs w:val="20"/>
                <w:color w:val="auto"/>
              </w:rPr>
            </w:pPr>
            <w:r>
              <w:rPr>
                <w:rFonts w:ascii="Arial" w:cs="Arial" w:eastAsia="Arial" w:hAnsi="Arial"/>
                <w:sz w:val="16"/>
                <w:szCs w:val="16"/>
                <w:color w:val="auto"/>
                <w:w w:val="74"/>
              </w:rPr>
              <w:t>)</w:t>
            </w:r>
          </w:p>
        </w:tc>
        <w:tc>
          <w:tcPr>
            <w:tcW w:w="60" w:type="dxa"/>
            <w:vAlign w:val="bottom"/>
            <w:tcBorders>
              <w:bottom w:val="single" w:sz="8" w:color="auto"/>
            </w:tcBorders>
          </w:tcPr>
          <w:p>
            <w:pPr>
              <w:spacing w:after="0"/>
              <w:rPr>
                <w:sz w:val="19"/>
                <w:szCs w:val="19"/>
                <w:color w:val="auto"/>
              </w:rPr>
            </w:pPr>
          </w:p>
        </w:tc>
        <w:tc>
          <w:tcPr>
            <w:tcW w:w="9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w w:val="97"/>
              </w:rPr>
              <w:t>(6,526,787)</w:t>
            </w:r>
          </w:p>
        </w:tc>
        <w:tc>
          <w:tcPr>
            <w:tcW w:w="220" w:type="dxa"/>
            <w:vAlign w:val="bottom"/>
          </w:tcPr>
          <w:p>
            <w:pPr>
              <w:spacing w:after="0"/>
              <w:rPr>
                <w:sz w:val="19"/>
                <w:szCs w:val="19"/>
                <w:color w:val="auto"/>
              </w:rPr>
            </w:pPr>
          </w:p>
        </w:tc>
        <w:tc>
          <w:tcPr>
            <w:tcW w:w="9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23,229,550</w:t>
            </w:r>
          </w:p>
        </w:tc>
        <w:tc>
          <w:tcPr>
            <w:tcW w:w="220" w:type="dxa"/>
            <w:vAlign w:val="bottom"/>
          </w:tcPr>
          <w:p>
            <w:pPr>
              <w:spacing w:after="0"/>
              <w:rPr>
                <w:sz w:val="19"/>
                <w:szCs w:val="19"/>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(31,858,589)</w:t>
            </w:r>
          </w:p>
        </w:tc>
        <w:tc>
          <w:tcPr>
            <w:tcW w:w="220" w:type="dxa"/>
            <w:vAlign w:val="bottom"/>
          </w:tcPr>
          <w:p>
            <w:pPr>
              <w:spacing w:after="0"/>
              <w:rPr>
                <w:sz w:val="19"/>
                <w:szCs w:val="19"/>
                <w:color w:val="auto"/>
              </w:rPr>
            </w:pPr>
          </w:p>
        </w:tc>
        <w:tc>
          <w:tcPr>
            <w:tcW w:w="60" w:type="dxa"/>
            <w:vAlign w:val="bottom"/>
            <w:tcBorders>
              <w:bottom w:val="single" w:sz="8" w:color="auto"/>
            </w:tcBorders>
          </w:tcPr>
          <w:p>
            <w:pPr>
              <w:spacing w:after="0"/>
              <w:rPr>
                <w:sz w:val="19"/>
                <w:szCs w:val="19"/>
                <w:color w:val="auto"/>
              </w:rPr>
            </w:pPr>
          </w:p>
        </w:tc>
        <w:tc>
          <w:tcPr>
            <w:tcW w:w="9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w w:val="99"/>
              </w:rPr>
              <w:t>(4,934,267)</w:t>
            </w:r>
          </w:p>
        </w:tc>
        <w:tc>
          <w:tcPr>
            <w:tcW w:w="1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15"/>
        </w:trPr>
        <w:tc>
          <w:tcPr>
            <w:tcW w:w="3740" w:type="dxa"/>
            <w:vAlign w:val="bottom"/>
          </w:tcPr>
          <w:p>
            <w:pPr>
              <w:spacing w:after="0"/>
              <w:rPr>
                <w:sz w:val="10"/>
                <w:szCs w:val="10"/>
                <w:color w:val="auto"/>
              </w:rPr>
            </w:pPr>
          </w:p>
        </w:tc>
        <w:tc>
          <w:tcPr>
            <w:tcW w:w="98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9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9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9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14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9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216"/>
        </w:trPr>
        <w:tc>
          <w:tcPr>
            <w:tcW w:w="37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comprehensive income</w:t>
            </w: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b w:val="1"/>
                <w:bCs w:val="1"/>
                <w:color w:val="auto"/>
              </w:rPr>
              <w:t>64,786,265</w:t>
            </w:r>
          </w:p>
        </w:tc>
        <w:tc>
          <w:tcPr>
            <w:tcW w:w="20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b w:val="1"/>
                <w:bCs w:val="1"/>
                <w:color w:val="auto"/>
                <w:w w:val="95"/>
              </w:rPr>
              <w:t>515,597,009</w:t>
            </w:r>
          </w:p>
        </w:tc>
        <w:tc>
          <w:tcPr>
            <w:tcW w:w="60" w:type="dxa"/>
            <w:vAlign w:val="bottom"/>
            <w:shd w:val="clear" w:color="auto" w:fill="CCEEFF"/>
          </w:tcPr>
          <w:p>
            <w:pPr>
              <w:spacing w:after="0"/>
              <w:rPr>
                <w:sz w:val="18"/>
                <w:szCs w:val="18"/>
                <w:color w:val="auto"/>
              </w:rPr>
            </w:pP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w w:val="99"/>
              </w:rPr>
              <w:t>79,855,809</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58,774,329</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252,007,739</w:t>
            </w:r>
          </w:p>
        </w:tc>
        <w:tc>
          <w:tcPr>
            <w:tcW w:w="6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39,031,029</w:t>
            </w:r>
          </w:p>
        </w:tc>
        <w:tc>
          <w:tcPr>
            <w:tcW w:w="0" w:type="dxa"/>
            <w:vAlign w:val="bottom"/>
          </w:tcPr>
          <w:p>
            <w:pPr>
              <w:spacing w:after="0"/>
              <w:rPr>
                <w:sz w:val="1"/>
                <w:szCs w:val="1"/>
                <w:color w:val="auto"/>
              </w:rPr>
            </w:pPr>
          </w:p>
        </w:tc>
      </w:tr>
      <w:tr>
        <w:trPr>
          <w:trHeight w:val="20"/>
        </w:trPr>
        <w:tc>
          <w:tcPr>
            <w:tcW w:w="3740" w:type="dxa"/>
            <w:vAlign w:val="bottom"/>
            <w:vMerge w:val="restart"/>
          </w:tcPr>
          <w:p>
            <w:pPr>
              <w:spacing w:after="0"/>
              <w:rPr>
                <w:sz w:val="20"/>
                <w:szCs w:val="20"/>
                <w:color w:val="auto"/>
              </w:rPr>
            </w:pPr>
            <w:r>
              <w:rPr>
                <w:rFonts w:ascii="Arial" w:cs="Arial" w:eastAsia="Arial" w:hAnsi="Arial"/>
                <w:sz w:val="18"/>
                <w:szCs w:val="18"/>
                <w:b w:val="1"/>
                <w:bCs w:val="1"/>
                <w:color w:val="auto"/>
                <w:w w:val="99"/>
              </w:rPr>
              <w:t>Total comprehensive income attributable to</w:t>
            </w:r>
          </w:p>
        </w:tc>
        <w:tc>
          <w:tcPr>
            <w:tcW w:w="98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0" w:type="dxa"/>
            <w:vAlign w:val="bottom"/>
            <w:tcBorders>
              <w:top w:val="single" w:sz="8" w:color="auto"/>
              <w:bottom w:val="single" w:sz="8" w:color="auto"/>
            </w:tcBorders>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0" w:type="dxa"/>
            <w:vAlign w:val="bottom"/>
            <w:tcBorders>
              <w:top w:val="single" w:sz="8" w:color="auto"/>
              <w:bottom w:val="single" w:sz="8" w:color="auto"/>
            </w:tcBorders>
          </w:tcPr>
          <w:p>
            <w:pPr>
              <w:spacing w:after="0" w:line="20" w:lineRule="exact"/>
              <w:rPr>
                <w:sz w:val="1"/>
                <w:szCs w:val="1"/>
                <w:color w:val="auto"/>
              </w:rPr>
            </w:pPr>
          </w:p>
        </w:tc>
        <w:tc>
          <w:tcPr>
            <w:tcW w:w="9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2"/>
        </w:trPr>
        <w:tc>
          <w:tcPr>
            <w:tcW w:w="3740" w:type="dxa"/>
            <w:vAlign w:val="bottom"/>
            <w:vMerge w:val="continue"/>
          </w:tcPr>
          <w:p>
            <w:pPr>
              <w:spacing w:after="0"/>
              <w:rPr>
                <w:sz w:val="16"/>
                <w:szCs w:val="16"/>
                <w:color w:val="auto"/>
              </w:rPr>
            </w:pPr>
          </w:p>
        </w:tc>
        <w:tc>
          <w:tcPr>
            <w:tcW w:w="9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9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1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94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3740" w:type="dxa"/>
            <w:vAlign w:val="bottom"/>
          </w:tcPr>
          <w:p>
            <w:pPr>
              <w:ind w:left="180"/>
              <w:spacing w:after="0"/>
              <w:rPr>
                <w:sz w:val="20"/>
                <w:szCs w:val="20"/>
                <w:color w:val="auto"/>
              </w:rPr>
            </w:pPr>
            <w:r>
              <w:rPr>
                <w:rFonts w:ascii="Arial" w:cs="Arial" w:eastAsia="Arial" w:hAnsi="Arial"/>
                <w:sz w:val="18"/>
                <w:szCs w:val="18"/>
                <w:b w:val="1"/>
                <w:bCs w:val="1"/>
                <w:color w:val="auto"/>
              </w:rPr>
              <w:t>Cango Inc.’s shareholders</w:t>
            </w:r>
          </w:p>
        </w:tc>
        <w:tc>
          <w:tcPr>
            <w:tcW w:w="1000" w:type="dxa"/>
            <w:vAlign w:val="bottom"/>
            <w:gridSpan w:val="2"/>
          </w:tcPr>
          <w:p>
            <w:pPr>
              <w:jc w:val="right"/>
              <w:ind w:right="20"/>
              <w:spacing w:after="0"/>
              <w:rPr>
                <w:sz w:val="20"/>
                <w:szCs w:val="20"/>
                <w:color w:val="auto"/>
              </w:rPr>
            </w:pPr>
            <w:r>
              <w:rPr>
                <w:rFonts w:ascii="Arial" w:cs="Arial" w:eastAsia="Arial" w:hAnsi="Arial"/>
                <w:sz w:val="18"/>
                <w:szCs w:val="18"/>
                <w:b w:val="1"/>
                <w:bCs w:val="1"/>
                <w:color w:val="auto"/>
              </w:rPr>
              <w:t>64,786,265</w:t>
            </w:r>
          </w:p>
        </w:tc>
        <w:tc>
          <w:tcPr>
            <w:tcW w:w="200" w:type="dxa"/>
            <w:vAlign w:val="bottom"/>
          </w:tcPr>
          <w:p>
            <w:pPr>
              <w:spacing w:after="0"/>
              <w:rPr>
                <w:sz w:val="20"/>
                <w:szCs w:val="20"/>
                <w:color w:val="auto"/>
              </w:rPr>
            </w:pPr>
          </w:p>
        </w:tc>
        <w:tc>
          <w:tcPr>
            <w:tcW w:w="1200" w:type="dxa"/>
            <w:vAlign w:val="bottom"/>
            <w:gridSpan w:val="2"/>
          </w:tcPr>
          <w:p>
            <w:pPr>
              <w:jc w:val="right"/>
              <w:ind w:right="141"/>
              <w:spacing w:after="0"/>
              <w:rPr>
                <w:sz w:val="20"/>
                <w:szCs w:val="20"/>
                <w:color w:val="auto"/>
              </w:rPr>
            </w:pPr>
            <w:r>
              <w:rPr>
                <w:rFonts w:ascii="Arial" w:cs="Arial" w:eastAsia="Arial" w:hAnsi="Arial"/>
                <w:sz w:val="18"/>
                <w:szCs w:val="18"/>
                <w:b w:val="1"/>
                <w:bCs w:val="1"/>
                <w:color w:val="auto"/>
                <w:w w:val="95"/>
              </w:rPr>
              <w:t>515,597,009</w:t>
            </w:r>
          </w:p>
        </w:tc>
        <w:tc>
          <w:tcPr>
            <w:tcW w:w="60" w:type="dxa"/>
            <w:vAlign w:val="bottom"/>
          </w:tcPr>
          <w:p>
            <w:pPr>
              <w:spacing w:after="0"/>
              <w:rPr>
                <w:sz w:val="20"/>
                <w:szCs w:val="20"/>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w w:val="99"/>
              </w:rPr>
              <w:t>79,855,809</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55,128,133</w:t>
            </w:r>
          </w:p>
        </w:tc>
        <w:tc>
          <w:tcPr>
            <w:tcW w:w="136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252,007,739</w:t>
            </w:r>
          </w:p>
        </w:tc>
        <w:tc>
          <w:tcPr>
            <w:tcW w:w="60" w:type="dxa"/>
            <w:vAlign w:val="bottom"/>
          </w:tcPr>
          <w:p>
            <w:pPr>
              <w:spacing w:after="0"/>
              <w:rPr>
                <w:sz w:val="20"/>
                <w:szCs w:val="20"/>
                <w:color w:val="auto"/>
              </w:rPr>
            </w:pPr>
          </w:p>
        </w:tc>
        <w:tc>
          <w:tcPr>
            <w:tcW w:w="106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39,031,029</w:t>
            </w:r>
          </w:p>
        </w:tc>
        <w:tc>
          <w:tcPr>
            <w:tcW w:w="0" w:type="dxa"/>
            <w:vAlign w:val="bottom"/>
          </w:tcPr>
          <w:p>
            <w:pPr>
              <w:spacing w:after="0"/>
              <w:rPr>
                <w:sz w:val="1"/>
                <w:szCs w:val="1"/>
                <w:color w:val="auto"/>
              </w:rPr>
            </w:pPr>
          </w:p>
        </w:tc>
      </w:tr>
      <w:tr>
        <w:trPr>
          <w:trHeight w:val="20"/>
        </w:trPr>
        <w:tc>
          <w:tcPr>
            <w:tcW w:w="3740" w:type="dxa"/>
            <w:vAlign w:val="bottom"/>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0" w:type="dxa"/>
            <w:vAlign w:val="bottom"/>
            <w:tcBorders>
              <w:top w:val="single" w:sz="8" w:color="auto"/>
              <w:bottom w:val="single" w:sz="8" w:color="auto"/>
            </w:tcBorders>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0" w:type="dxa"/>
            <w:vAlign w:val="bottom"/>
            <w:tcBorders>
              <w:top w:val="single" w:sz="8" w:color="auto"/>
              <w:bottom w:val="single" w:sz="8" w:color="auto"/>
            </w:tcBorders>
          </w:tcPr>
          <w:p>
            <w:pPr>
              <w:spacing w:after="0" w:line="20" w:lineRule="exact"/>
              <w:rPr>
                <w:sz w:val="1"/>
                <w:szCs w:val="1"/>
                <w:color w:val="auto"/>
              </w:rPr>
            </w:pPr>
          </w:p>
        </w:tc>
        <w:tc>
          <w:tcPr>
            <w:tcW w:w="9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ectPr>
          <w:pgSz w:w="11900" w:h="16838" w:orient="portrait"/>
          <w:cols w:equalWidth="0" w:num="1">
            <w:col w:w="11020"/>
          </w:cols>
          <w:pgMar w:left="440" w:top="265" w:right="439" w:bottom="1440" w:gutter="0" w:footer="0" w:header="0"/>
        </w:sectPr>
      </w:pPr>
    </w:p>
    <w:bookmarkStart w:id="12" w:name="page13"/>
    <w:bookmarkEnd w:id="12"/>
    <w:p>
      <w:pPr>
        <w:jc w:val="center"/>
        <w:ind w:right="20"/>
        <w:spacing w:after="0"/>
        <w:rPr>
          <w:sz w:val="20"/>
          <w:szCs w:val="20"/>
          <w:color w:val="auto"/>
        </w:rPr>
      </w:pPr>
      <w:r>
        <w:rPr>
          <w:rFonts w:ascii="Arial" w:cs="Arial" w:eastAsia="Arial" w:hAnsi="Arial"/>
          <w:sz w:val="18"/>
          <w:szCs w:val="18"/>
          <w:b w:val="1"/>
          <w:bCs w:val="1"/>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73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7174865" cy="38735"/>
                    </a:xfrm>
                    <a:prstGeom prst="rect">
                      <a:avLst/>
                    </a:prstGeom>
                    <a:noFill/>
                  </pic:spPr>
                </pic:pic>
              </a:graphicData>
            </a:graphic>
          </wp:anchor>
        </w:drawing>
        <w:t>CANGO INC.</w:t>
      </w:r>
    </w:p>
    <w:p>
      <w:pPr>
        <w:spacing w:after="0" w:line="27" w:lineRule="exact"/>
        <w:rPr>
          <w:sz w:val="20"/>
          <w:szCs w:val="20"/>
          <w:color w:val="auto"/>
        </w:rPr>
      </w:pPr>
    </w:p>
    <w:p>
      <w:pPr>
        <w:jc w:val="center"/>
        <w:ind w:right="20"/>
        <w:spacing w:after="0"/>
        <w:rPr>
          <w:sz w:val="20"/>
          <w:szCs w:val="20"/>
          <w:color w:val="auto"/>
        </w:rPr>
      </w:pPr>
      <w:r>
        <w:rPr>
          <w:rFonts w:ascii="Arial" w:cs="Arial" w:eastAsia="Arial" w:hAnsi="Arial"/>
          <w:sz w:val="18"/>
          <w:szCs w:val="18"/>
          <w:b w:val="1"/>
          <w:bCs w:val="1"/>
          <w:color w:val="auto"/>
        </w:rPr>
        <w:t>RECONCILIATIONS OF GAAP AND NON-GAAP RESULTS</w:t>
      </w:r>
    </w:p>
    <w:p>
      <w:pPr>
        <w:spacing w:after="0" w:line="9" w:lineRule="exact"/>
        <w:rPr>
          <w:sz w:val="20"/>
          <w:szCs w:val="20"/>
          <w:color w:val="auto"/>
        </w:rPr>
      </w:pPr>
    </w:p>
    <w:p>
      <w:pPr>
        <w:jc w:val="center"/>
        <w:ind w:right="20"/>
        <w:spacing w:after="0"/>
        <w:rPr>
          <w:sz w:val="20"/>
          <w:szCs w:val="20"/>
          <w:color w:val="auto"/>
        </w:rPr>
      </w:pPr>
      <w:r>
        <w:rPr>
          <w:rFonts w:ascii="Arial" w:cs="Arial" w:eastAsia="Arial" w:hAnsi="Arial"/>
          <w:sz w:val="18"/>
          <w:szCs w:val="18"/>
          <w:b w:val="1"/>
          <w:bCs w:val="1"/>
          <w:color w:val="auto"/>
        </w:rPr>
        <w:t>(Amounts in Renminbi (“RMB”) and US dollar (“US$”), except for number of shares and per share data</w:t>
      </w:r>
    </w:p>
    <w:p>
      <w:pPr>
        <w:spacing w:after="0" w:line="229" w:lineRule="exact"/>
        <w:rPr>
          <w:sz w:val="20"/>
          <w:szCs w:val="20"/>
          <w:color w:val="auto"/>
        </w:rPr>
      </w:pPr>
    </w:p>
    <w:tbl>
      <w:tblPr>
        <w:tblLayout w:type="fixed"/>
        <w:tblInd w:w="0" w:type="dxa"/>
        <w:tblCellMar>
          <w:top w:w="0" w:type="dxa"/>
          <w:left w:w="0" w:type="dxa"/>
          <w:bottom w:w="0" w:type="dxa"/>
          <w:right w:w="0" w:type="dxa"/>
        </w:tblCellMar>
      </w:tblPr>
      <w:tr>
        <w:trPr>
          <w:trHeight w:val="171"/>
        </w:trPr>
        <w:tc>
          <w:tcPr>
            <w:tcW w:w="4400" w:type="dxa"/>
            <w:vAlign w:val="bottom"/>
          </w:tcPr>
          <w:p>
            <w:pPr>
              <w:spacing w:after="0"/>
              <w:rPr>
                <w:sz w:val="14"/>
                <w:szCs w:val="14"/>
                <w:color w:val="auto"/>
              </w:rPr>
            </w:pPr>
          </w:p>
        </w:tc>
        <w:tc>
          <w:tcPr>
            <w:tcW w:w="3360" w:type="dxa"/>
            <w:vAlign w:val="bottom"/>
            <w:gridSpan w:val="6"/>
          </w:tcPr>
          <w:p>
            <w:pPr>
              <w:jc w:val="center"/>
              <w:ind w:right="160"/>
              <w:spacing w:after="0"/>
              <w:rPr>
                <w:sz w:val="20"/>
                <w:szCs w:val="20"/>
                <w:color w:val="auto"/>
              </w:rPr>
            </w:pPr>
            <w:r>
              <w:rPr>
                <w:rFonts w:ascii="Arial" w:cs="Arial" w:eastAsia="Arial" w:hAnsi="Arial"/>
                <w:sz w:val="14"/>
                <w:szCs w:val="14"/>
                <w:b w:val="1"/>
                <w:bCs w:val="1"/>
                <w:color w:val="auto"/>
                <w:w w:val="91"/>
              </w:rPr>
              <w:t>Three months ended June 30,</w:t>
            </w:r>
          </w:p>
        </w:tc>
        <w:tc>
          <w:tcPr>
            <w:tcW w:w="3260" w:type="dxa"/>
            <w:vAlign w:val="bottom"/>
            <w:gridSpan w:val="6"/>
          </w:tcPr>
          <w:p>
            <w:pPr>
              <w:jc w:val="center"/>
              <w:ind w:right="60"/>
              <w:spacing w:after="0"/>
              <w:rPr>
                <w:sz w:val="20"/>
                <w:szCs w:val="20"/>
                <w:color w:val="auto"/>
              </w:rPr>
            </w:pPr>
            <w:r>
              <w:rPr>
                <w:rFonts w:ascii="Arial" w:cs="Arial" w:eastAsia="Arial" w:hAnsi="Arial"/>
                <w:sz w:val="14"/>
                <w:szCs w:val="14"/>
                <w:b w:val="1"/>
                <w:bCs w:val="1"/>
                <w:color w:val="auto"/>
                <w:w w:val="90"/>
              </w:rPr>
              <w:t>Six months ended June 30,</w:t>
            </w:r>
          </w:p>
        </w:tc>
      </w:tr>
      <w:tr>
        <w:trPr>
          <w:trHeight w:val="119"/>
        </w:trPr>
        <w:tc>
          <w:tcPr>
            <w:tcW w:w="4400" w:type="dxa"/>
            <w:vAlign w:val="bottom"/>
          </w:tcPr>
          <w:p>
            <w:pPr>
              <w:spacing w:after="0"/>
              <w:rPr>
                <w:sz w:val="10"/>
                <w:szCs w:val="10"/>
                <w:color w:val="auto"/>
              </w:rPr>
            </w:pPr>
          </w:p>
        </w:tc>
        <w:tc>
          <w:tcPr>
            <w:tcW w:w="960" w:type="dxa"/>
            <w:vAlign w:val="bottom"/>
            <w:tcBorders>
              <w:top w:val="single" w:sz="8" w:color="auto"/>
            </w:tcBorders>
          </w:tcPr>
          <w:p>
            <w:pPr>
              <w:jc w:val="center"/>
              <w:spacing w:after="0" w:line="119" w:lineRule="exact"/>
              <w:rPr>
                <w:sz w:val="20"/>
                <w:szCs w:val="20"/>
                <w:color w:val="auto"/>
              </w:rPr>
            </w:pPr>
            <w:r>
              <w:rPr>
                <w:rFonts w:ascii="Arial" w:cs="Arial" w:eastAsia="Arial" w:hAnsi="Arial"/>
                <w:sz w:val="13"/>
                <w:szCs w:val="13"/>
                <w:b w:val="1"/>
                <w:bCs w:val="1"/>
                <w:color w:val="auto"/>
                <w:w w:val="96"/>
              </w:rPr>
              <w:t>2020</w:t>
            </w:r>
          </w:p>
        </w:tc>
        <w:tc>
          <w:tcPr>
            <w:tcW w:w="160" w:type="dxa"/>
            <w:vAlign w:val="bottom"/>
            <w:tcBorders>
              <w:top w:val="single" w:sz="8" w:color="auto"/>
            </w:tcBorders>
          </w:tcPr>
          <w:p>
            <w:pPr>
              <w:spacing w:after="0"/>
              <w:rPr>
                <w:sz w:val="10"/>
                <w:szCs w:val="10"/>
                <w:color w:val="auto"/>
              </w:rPr>
            </w:pPr>
          </w:p>
        </w:tc>
        <w:tc>
          <w:tcPr>
            <w:tcW w:w="2080" w:type="dxa"/>
            <w:vAlign w:val="bottom"/>
            <w:tcBorders>
              <w:top w:val="single" w:sz="8" w:color="auto"/>
            </w:tcBorders>
            <w:gridSpan w:val="3"/>
          </w:tcPr>
          <w:p>
            <w:pPr>
              <w:jc w:val="right"/>
              <w:ind w:right="812"/>
              <w:spacing w:after="0" w:line="119" w:lineRule="exact"/>
              <w:rPr>
                <w:sz w:val="20"/>
                <w:szCs w:val="20"/>
                <w:color w:val="auto"/>
              </w:rPr>
            </w:pPr>
            <w:r>
              <w:rPr>
                <w:rFonts w:ascii="Arial" w:cs="Arial" w:eastAsia="Arial" w:hAnsi="Arial"/>
                <w:sz w:val="13"/>
                <w:szCs w:val="13"/>
                <w:b w:val="1"/>
                <w:bCs w:val="1"/>
                <w:color w:val="auto"/>
              </w:rPr>
              <w:t>2021</w:t>
            </w:r>
          </w:p>
        </w:tc>
        <w:tc>
          <w:tcPr>
            <w:tcW w:w="160" w:type="dxa"/>
            <w:vAlign w:val="bottom"/>
          </w:tcPr>
          <w:p>
            <w:pPr>
              <w:spacing w:after="0"/>
              <w:rPr>
                <w:sz w:val="10"/>
                <w:szCs w:val="10"/>
                <w:color w:val="auto"/>
              </w:rPr>
            </w:pPr>
          </w:p>
        </w:tc>
        <w:tc>
          <w:tcPr>
            <w:tcW w:w="960" w:type="dxa"/>
            <w:vAlign w:val="bottom"/>
            <w:tcBorders>
              <w:top w:val="single" w:sz="8" w:color="auto"/>
            </w:tcBorders>
          </w:tcPr>
          <w:p>
            <w:pPr>
              <w:jc w:val="center"/>
              <w:spacing w:after="0" w:line="119" w:lineRule="exact"/>
              <w:rPr>
                <w:sz w:val="20"/>
                <w:szCs w:val="20"/>
                <w:color w:val="auto"/>
              </w:rPr>
            </w:pPr>
            <w:r>
              <w:rPr>
                <w:rFonts w:ascii="Arial" w:cs="Arial" w:eastAsia="Arial" w:hAnsi="Arial"/>
                <w:sz w:val="13"/>
                <w:szCs w:val="13"/>
                <w:b w:val="1"/>
                <w:bCs w:val="1"/>
                <w:color w:val="auto"/>
                <w:w w:val="96"/>
              </w:rPr>
              <w:t>2020</w:t>
            </w:r>
          </w:p>
        </w:tc>
        <w:tc>
          <w:tcPr>
            <w:tcW w:w="160" w:type="dxa"/>
            <w:vAlign w:val="bottom"/>
            <w:tcBorders>
              <w:top w:val="single" w:sz="8" w:color="auto"/>
            </w:tcBorders>
          </w:tcPr>
          <w:p>
            <w:pPr>
              <w:spacing w:after="0"/>
              <w:rPr>
                <w:sz w:val="10"/>
                <w:szCs w:val="10"/>
                <w:color w:val="auto"/>
              </w:rPr>
            </w:pPr>
          </w:p>
        </w:tc>
        <w:tc>
          <w:tcPr>
            <w:tcW w:w="2080" w:type="dxa"/>
            <w:vAlign w:val="bottom"/>
            <w:tcBorders>
              <w:top w:val="single" w:sz="8" w:color="auto"/>
            </w:tcBorders>
            <w:gridSpan w:val="3"/>
          </w:tcPr>
          <w:p>
            <w:pPr>
              <w:jc w:val="right"/>
              <w:ind w:right="812"/>
              <w:spacing w:after="0" w:line="119" w:lineRule="exact"/>
              <w:rPr>
                <w:sz w:val="20"/>
                <w:szCs w:val="20"/>
                <w:color w:val="auto"/>
              </w:rPr>
            </w:pPr>
            <w:r>
              <w:rPr>
                <w:rFonts w:ascii="Arial" w:cs="Arial" w:eastAsia="Arial" w:hAnsi="Arial"/>
                <w:sz w:val="13"/>
                <w:szCs w:val="13"/>
                <w:b w:val="1"/>
                <w:bCs w:val="1"/>
                <w:color w:val="auto"/>
              </w:rPr>
              <w:t>2021</w:t>
            </w:r>
          </w:p>
        </w:tc>
        <w:tc>
          <w:tcPr>
            <w:tcW w:w="60" w:type="dxa"/>
            <w:vAlign w:val="bottom"/>
          </w:tcPr>
          <w:p>
            <w:pPr>
              <w:spacing w:after="0"/>
              <w:rPr>
                <w:sz w:val="10"/>
                <w:szCs w:val="10"/>
                <w:color w:val="auto"/>
              </w:rPr>
            </w:pPr>
          </w:p>
        </w:tc>
      </w:tr>
      <w:tr>
        <w:trPr>
          <w:trHeight w:val="148"/>
        </w:trPr>
        <w:tc>
          <w:tcPr>
            <w:tcW w:w="4400" w:type="dxa"/>
            <w:vAlign w:val="bottom"/>
          </w:tcPr>
          <w:p>
            <w:pPr>
              <w:spacing w:after="0"/>
              <w:rPr>
                <w:sz w:val="12"/>
                <w:szCs w:val="12"/>
                <w:color w:val="auto"/>
              </w:rPr>
            </w:pPr>
          </w:p>
        </w:tc>
        <w:tc>
          <w:tcPr>
            <w:tcW w:w="1120" w:type="dxa"/>
            <w:vAlign w:val="bottom"/>
            <w:gridSpan w:val="2"/>
          </w:tcPr>
          <w:p>
            <w:pPr>
              <w:jc w:val="center"/>
              <w:ind w:right="180"/>
              <w:spacing w:after="0" w:line="149" w:lineRule="exact"/>
              <w:rPr>
                <w:sz w:val="20"/>
                <w:szCs w:val="20"/>
                <w:color w:val="auto"/>
              </w:rPr>
            </w:pPr>
            <w:r>
              <w:rPr>
                <w:rFonts w:ascii="Arial" w:cs="Arial" w:eastAsia="Arial" w:hAnsi="Arial"/>
                <w:sz w:val="14"/>
                <w:szCs w:val="14"/>
                <w:b w:val="1"/>
                <w:bCs w:val="1"/>
                <w:color w:val="auto"/>
                <w:w w:val="95"/>
              </w:rPr>
              <w:t>(Unaudited)</w:t>
            </w:r>
          </w:p>
        </w:tc>
        <w:tc>
          <w:tcPr>
            <w:tcW w:w="1120" w:type="dxa"/>
            <w:vAlign w:val="bottom"/>
            <w:gridSpan w:val="2"/>
          </w:tcPr>
          <w:p>
            <w:pPr>
              <w:jc w:val="center"/>
              <w:ind w:right="180"/>
              <w:spacing w:after="0" w:line="149" w:lineRule="exact"/>
              <w:rPr>
                <w:sz w:val="20"/>
                <w:szCs w:val="20"/>
                <w:color w:val="auto"/>
              </w:rPr>
            </w:pPr>
            <w:r>
              <w:rPr>
                <w:rFonts w:ascii="Arial" w:cs="Arial" w:eastAsia="Arial" w:hAnsi="Arial"/>
                <w:sz w:val="14"/>
                <w:szCs w:val="14"/>
                <w:b w:val="1"/>
                <w:bCs w:val="1"/>
                <w:color w:val="auto"/>
                <w:w w:val="95"/>
              </w:rPr>
              <w:t>(Unaudited)</w:t>
            </w:r>
          </w:p>
        </w:tc>
        <w:tc>
          <w:tcPr>
            <w:tcW w:w="1120" w:type="dxa"/>
            <w:vAlign w:val="bottom"/>
            <w:gridSpan w:val="2"/>
          </w:tcPr>
          <w:p>
            <w:pPr>
              <w:jc w:val="center"/>
              <w:ind w:right="180"/>
              <w:spacing w:after="0" w:line="149" w:lineRule="exact"/>
              <w:rPr>
                <w:sz w:val="20"/>
                <w:szCs w:val="20"/>
                <w:color w:val="auto"/>
              </w:rPr>
            </w:pPr>
            <w:r>
              <w:rPr>
                <w:rFonts w:ascii="Arial" w:cs="Arial" w:eastAsia="Arial" w:hAnsi="Arial"/>
                <w:sz w:val="14"/>
                <w:szCs w:val="14"/>
                <w:b w:val="1"/>
                <w:bCs w:val="1"/>
                <w:color w:val="auto"/>
                <w:w w:val="95"/>
              </w:rPr>
              <w:t>(Unaudited)</w:t>
            </w:r>
          </w:p>
        </w:tc>
        <w:tc>
          <w:tcPr>
            <w:tcW w:w="1120" w:type="dxa"/>
            <w:vAlign w:val="bottom"/>
            <w:gridSpan w:val="2"/>
          </w:tcPr>
          <w:p>
            <w:pPr>
              <w:jc w:val="center"/>
              <w:ind w:right="180"/>
              <w:spacing w:after="0" w:line="149" w:lineRule="exact"/>
              <w:rPr>
                <w:sz w:val="20"/>
                <w:szCs w:val="20"/>
                <w:color w:val="auto"/>
              </w:rPr>
            </w:pPr>
            <w:r>
              <w:rPr>
                <w:rFonts w:ascii="Arial" w:cs="Arial" w:eastAsia="Arial" w:hAnsi="Arial"/>
                <w:sz w:val="14"/>
                <w:szCs w:val="14"/>
                <w:b w:val="1"/>
                <w:bCs w:val="1"/>
                <w:color w:val="auto"/>
                <w:w w:val="95"/>
              </w:rPr>
              <w:t>(Unaudited)</w:t>
            </w:r>
          </w:p>
        </w:tc>
        <w:tc>
          <w:tcPr>
            <w:tcW w:w="1120" w:type="dxa"/>
            <w:vAlign w:val="bottom"/>
            <w:gridSpan w:val="2"/>
          </w:tcPr>
          <w:p>
            <w:pPr>
              <w:jc w:val="center"/>
              <w:ind w:right="160"/>
              <w:spacing w:after="0" w:line="149" w:lineRule="exact"/>
              <w:rPr>
                <w:sz w:val="20"/>
                <w:szCs w:val="20"/>
                <w:color w:val="auto"/>
              </w:rPr>
            </w:pPr>
            <w:r>
              <w:rPr>
                <w:rFonts w:ascii="Arial" w:cs="Arial" w:eastAsia="Arial" w:hAnsi="Arial"/>
                <w:sz w:val="14"/>
                <w:szCs w:val="14"/>
                <w:b w:val="1"/>
                <w:bCs w:val="1"/>
                <w:color w:val="auto"/>
                <w:w w:val="97"/>
              </w:rPr>
              <w:t>(Unaudited)</w:t>
            </w:r>
          </w:p>
        </w:tc>
        <w:tc>
          <w:tcPr>
            <w:tcW w:w="1020" w:type="dxa"/>
            <w:vAlign w:val="bottom"/>
            <w:gridSpan w:val="2"/>
          </w:tcPr>
          <w:p>
            <w:pPr>
              <w:jc w:val="center"/>
              <w:ind w:right="60"/>
              <w:spacing w:after="0" w:line="149" w:lineRule="exact"/>
              <w:rPr>
                <w:sz w:val="20"/>
                <w:szCs w:val="20"/>
                <w:color w:val="auto"/>
              </w:rPr>
            </w:pPr>
            <w:r>
              <w:rPr>
                <w:rFonts w:ascii="Arial" w:cs="Arial" w:eastAsia="Arial" w:hAnsi="Arial"/>
                <w:sz w:val="14"/>
                <w:szCs w:val="14"/>
                <w:b w:val="1"/>
                <w:bCs w:val="1"/>
                <w:color w:val="auto"/>
                <w:w w:val="97"/>
              </w:rPr>
              <w:t>(Unaudited)</w:t>
            </w:r>
          </w:p>
        </w:tc>
      </w:tr>
      <w:tr>
        <w:trPr>
          <w:trHeight w:val="171"/>
        </w:trPr>
        <w:tc>
          <w:tcPr>
            <w:tcW w:w="4400" w:type="dxa"/>
            <w:vAlign w:val="bottom"/>
          </w:tcPr>
          <w:p>
            <w:pPr>
              <w:spacing w:after="0"/>
              <w:rPr>
                <w:sz w:val="14"/>
                <w:szCs w:val="14"/>
                <w:color w:val="auto"/>
              </w:rPr>
            </w:pPr>
          </w:p>
        </w:tc>
        <w:tc>
          <w:tcPr>
            <w:tcW w:w="1120" w:type="dxa"/>
            <w:vAlign w:val="bottom"/>
            <w:gridSpan w:val="2"/>
          </w:tcPr>
          <w:p>
            <w:pPr>
              <w:jc w:val="center"/>
              <w:ind w:right="180"/>
              <w:spacing w:after="0"/>
              <w:rPr>
                <w:sz w:val="20"/>
                <w:szCs w:val="20"/>
                <w:color w:val="auto"/>
              </w:rPr>
            </w:pPr>
            <w:r>
              <w:rPr>
                <w:rFonts w:ascii="Arial" w:cs="Arial" w:eastAsia="Arial" w:hAnsi="Arial"/>
                <w:sz w:val="14"/>
                <w:szCs w:val="14"/>
                <w:b w:val="1"/>
                <w:bCs w:val="1"/>
                <w:color w:val="auto"/>
              </w:rPr>
              <w:t>RMB</w:t>
            </w:r>
          </w:p>
        </w:tc>
        <w:tc>
          <w:tcPr>
            <w:tcW w:w="1120" w:type="dxa"/>
            <w:vAlign w:val="bottom"/>
            <w:gridSpan w:val="2"/>
          </w:tcPr>
          <w:p>
            <w:pPr>
              <w:jc w:val="center"/>
              <w:ind w:right="180"/>
              <w:spacing w:after="0"/>
              <w:rPr>
                <w:sz w:val="20"/>
                <w:szCs w:val="20"/>
                <w:color w:val="auto"/>
              </w:rPr>
            </w:pPr>
            <w:r>
              <w:rPr>
                <w:rFonts w:ascii="Arial" w:cs="Arial" w:eastAsia="Arial" w:hAnsi="Arial"/>
                <w:sz w:val="14"/>
                <w:szCs w:val="14"/>
                <w:b w:val="1"/>
                <w:bCs w:val="1"/>
                <w:color w:val="auto"/>
              </w:rPr>
              <w:t>RMB</w:t>
            </w:r>
          </w:p>
        </w:tc>
        <w:tc>
          <w:tcPr>
            <w:tcW w:w="1120" w:type="dxa"/>
            <w:vAlign w:val="bottom"/>
            <w:gridSpan w:val="2"/>
          </w:tcPr>
          <w:p>
            <w:pPr>
              <w:jc w:val="center"/>
              <w:ind w:right="180"/>
              <w:spacing w:after="0"/>
              <w:rPr>
                <w:sz w:val="20"/>
                <w:szCs w:val="20"/>
                <w:color w:val="auto"/>
              </w:rPr>
            </w:pPr>
            <w:r>
              <w:rPr>
                <w:rFonts w:ascii="Arial" w:cs="Arial" w:eastAsia="Arial" w:hAnsi="Arial"/>
                <w:sz w:val="14"/>
                <w:szCs w:val="14"/>
                <w:b w:val="1"/>
                <w:bCs w:val="1"/>
                <w:color w:val="auto"/>
                <w:w w:val="95"/>
              </w:rPr>
              <w:t>US$</w:t>
            </w:r>
          </w:p>
        </w:tc>
        <w:tc>
          <w:tcPr>
            <w:tcW w:w="1120" w:type="dxa"/>
            <w:vAlign w:val="bottom"/>
            <w:gridSpan w:val="2"/>
          </w:tcPr>
          <w:p>
            <w:pPr>
              <w:jc w:val="center"/>
              <w:ind w:right="180"/>
              <w:spacing w:after="0"/>
              <w:rPr>
                <w:sz w:val="20"/>
                <w:szCs w:val="20"/>
                <w:color w:val="auto"/>
              </w:rPr>
            </w:pPr>
            <w:r>
              <w:rPr>
                <w:rFonts w:ascii="Arial" w:cs="Arial" w:eastAsia="Arial" w:hAnsi="Arial"/>
                <w:sz w:val="14"/>
                <w:szCs w:val="14"/>
                <w:b w:val="1"/>
                <w:bCs w:val="1"/>
                <w:color w:val="auto"/>
              </w:rPr>
              <w:t>RMB</w:t>
            </w:r>
          </w:p>
        </w:tc>
        <w:tc>
          <w:tcPr>
            <w:tcW w:w="1120" w:type="dxa"/>
            <w:vAlign w:val="bottom"/>
            <w:gridSpan w:val="2"/>
          </w:tcPr>
          <w:p>
            <w:pPr>
              <w:jc w:val="center"/>
              <w:ind w:right="160"/>
              <w:spacing w:after="0"/>
              <w:rPr>
                <w:sz w:val="20"/>
                <w:szCs w:val="20"/>
                <w:color w:val="auto"/>
              </w:rPr>
            </w:pPr>
            <w:r>
              <w:rPr>
                <w:rFonts w:ascii="Arial" w:cs="Arial" w:eastAsia="Arial" w:hAnsi="Arial"/>
                <w:sz w:val="14"/>
                <w:szCs w:val="14"/>
                <w:b w:val="1"/>
                <w:bCs w:val="1"/>
                <w:color w:val="auto"/>
              </w:rPr>
              <w:t>RMB</w:t>
            </w:r>
          </w:p>
        </w:tc>
        <w:tc>
          <w:tcPr>
            <w:tcW w:w="1020" w:type="dxa"/>
            <w:vAlign w:val="bottom"/>
            <w:gridSpan w:val="2"/>
          </w:tcPr>
          <w:p>
            <w:pPr>
              <w:jc w:val="center"/>
              <w:ind w:right="60"/>
              <w:spacing w:after="0"/>
              <w:rPr>
                <w:sz w:val="20"/>
                <w:szCs w:val="20"/>
                <w:color w:val="auto"/>
              </w:rPr>
            </w:pPr>
            <w:r>
              <w:rPr>
                <w:rFonts w:ascii="Arial" w:cs="Arial" w:eastAsia="Arial" w:hAnsi="Arial"/>
                <w:sz w:val="14"/>
                <w:szCs w:val="14"/>
                <w:b w:val="1"/>
                <w:bCs w:val="1"/>
                <w:color w:val="auto"/>
                <w:w w:val="87"/>
              </w:rPr>
              <w:t>US$</w:t>
            </w:r>
          </w:p>
        </w:tc>
      </w:tr>
      <w:tr>
        <w:trPr>
          <w:trHeight w:val="216"/>
        </w:trPr>
        <w:tc>
          <w:tcPr>
            <w:tcW w:w="44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Net income</w:t>
            </w: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rPr>
              <w:t>70,231,065</w:t>
            </w: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w w:val="93"/>
              </w:rPr>
              <w:t>557,737,863</w:t>
            </w: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rPr>
              <w:t>86,382,596</w:t>
            </w: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rPr>
              <w:t>35,544,779</w:t>
            </w: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w w:val="93"/>
              </w:rPr>
              <w:t>283,866,328</w:t>
            </w: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b w:val="1"/>
                <w:bCs w:val="1"/>
                <w:color w:val="auto"/>
              </w:rPr>
              <w:t>43,965,296</w:t>
            </w:r>
          </w:p>
        </w:tc>
      </w:tr>
      <w:tr>
        <w:trPr>
          <w:trHeight w:val="324"/>
        </w:trPr>
        <w:tc>
          <w:tcPr>
            <w:tcW w:w="4400" w:type="dxa"/>
            <w:vAlign w:val="bottom"/>
          </w:tcPr>
          <w:p>
            <w:pPr>
              <w:spacing w:after="0"/>
              <w:rPr>
                <w:sz w:val="20"/>
                <w:szCs w:val="20"/>
                <w:color w:val="auto"/>
              </w:rPr>
            </w:pPr>
            <w:r>
              <w:rPr>
                <w:rFonts w:ascii="Arial" w:cs="Arial" w:eastAsia="Arial" w:hAnsi="Arial"/>
                <w:sz w:val="18"/>
                <w:szCs w:val="18"/>
                <w:b w:val="1"/>
                <w:bCs w:val="1"/>
                <w:color w:val="auto"/>
              </w:rPr>
              <w:t>Add: Share-based compensation expenses</w:t>
            </w:r>
          </w:p>
        </w:tc>
        <w:tc>
          <w:tcPr>
            <w:tcW w:w="112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22,096,880</w:t>
            </w:r>
          </w:p>
        </w:tc>
        <w:tc>
          <w:tcPr>
            <w:tcW w:w="112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20,522,138</w:t>
            </w:r>
          </w:p>
        </w:tc>
        <w:tc>
          <w:tcPr>
            <w:tcW w:w="112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3,178,474</w:t>
            </w:r>
          </w:p>
        </w:tc>
        <w:tc>
          <w:tcPr>
            <w:tcW w:w="112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45,415,178</w:t>
            </w:r>
          </w:p>
        </w:tc>
        <w:tc>
          <w:tcPr>
            <w:tcW w:w="112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40,433,303</w:t>
            </w:r>
          </w:p>
        </w:tc>
        <w:tc>
          <w:tcPr>
            <w:tcW w:w="1020" w:type="dxa"/>
            <w:vAlign w:val="bottom"/>
            <w:gridSpan w:val="2"/>
          </w:tcPr>
          <w:p>
            <w:pPr>
              <w:jc w:val="right"/>
              <w:ind w:right="60"/>
              <w:spacing w:after="0"/>
              <w:rPr>
                <w:sz w:val="20"/>
                <w:szCs w:val="20"/>
                <w:color w:val="auto"/>
              </w:rPr>
            </w:pPr>
            <w:r>
              <w:rPr>
                <w:rFonts w:ascii="Arial" w:cs="Arial" w:eastAsia="Arial" w:hAnsi="Arial"/>
                <w:sz w:val="18"/>
                <w:szCs w:val="18"/>
                <w:b w:val="1"/>
                <w:bCs w:val="1"/>
                <w:color w:val="auto"/>
              </w:rPr>
              <w:t>6,262,321</w:t>
            </w:r>
          </w:p>
        </w:tc>
      </w:tr>
      <w:tr>
        <w:trPr>
          <w:trHeight w:val="216"/>
        </w:trPr>
        <w:tc>
          <w:tcPr>
            <w:tcW w:w="4400" w:type="dxa"/>
            <w:vAlign w:val="bottom"/>
            <w:shd w:val="clear" w:color="auto" w:fill="CCEEFF"/>
          </w:tcPr>
          <w:p>
            <w:pPr>
              <w:ind w:left="360"/>
              <w:spacing w:after="0"/>
              <w:rPr>
                <w:sz w:val="20"/>
                <w:szCs w:val="20"/>
                <w:color w:val="auto"/>
              </w:rPr>
            </w:pPr>
            <w:r>
              <w:rPr>
                <w:rFonts w:ascii="Arial" w:cs="Arial" w:eastAsia="Arial" w:hAnsi="Arial"/>
                <w:sz w:val="18"/>
                <w:szCs w:val="18"/>
                <w:b w:val="1"/>
                <w:bCs w:val="1"/>
                <w:color w:val="auto"/>
              </w:rPr>
              <w:t>Cost of revenue</w:t>
            </w: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rPr>
              <w:t>905,973</w:t>
            </w: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rPr>
              <w:t>783,983</w:t>
            </w: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rPr>
              <w:t>121,424</w:t>
            </w: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rPr>
              <w:t>1,862,024</w:t>
            </w: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rPr>
              <w:t>1,454,657</w:t>
            </w: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b w:val="1"/>
                <w:bCs w:val="1"/>
                <w:color w:val="auto"/>
              </w:rPr>
              <w:t>225,298</w:t>
            </w:r>
          </w:p>
        </w:tc>
      </w:tr>
      <w:tr>
        <w:trPr>
          <w:trHeight w:val="216"/>
        </w:trPr>
        <w:tc>
          <w:tcPr>
            <w:tcW w:w="4400" w:type="dxa"/>
            <w:vAlign w:val="bottom"/>
          </w:tcPr>
          <w:p>
            <w:pPr>
              <w:ind w:left="360"/>
              <w:spacing w:after="0"/>
              <w:rPr>
                <w:sz w:val="20"/>
                <w:szCs w:val="20"/>
                <w:color w:val="auto"/>
              </w:rPr>
            </w:pPr>
            <w:r>
              <w:rPr>
                <w:rFonts w:ascii="Arial" w:cs="Arial" w:eastAsia="Arial" w:hAnsi="Arial"/>
                <w:sz w:val="18"/>
                <w:szCs w:val="18"/>
                <w:b w:val="1"/>
                <w:bCs w:val="1"/>
                <w:color w:val="auto"/>
              </w:rPr>
              <w:t>Sales and marketing</w:t>
            </w:r>
          </w:p>
        </w:tc>
        <w:tc>
          <w:tcPr>
            <w:tcW w:w="112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4,706,635</w:t>
            </w:r>
          </w:p>
        </w:tc>
        <w:tc>
          <w:tcPr>
            <w:tcW w:w="112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4,004,166</w:t>
            </w:r>
          </w:p>
        </w:tc>
        <w:tc>
          <w:tcPr>
            <w:tcW w:w="112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620,166</w:t>
            </w:r>
          </w:p>
        </w:tc>
        <w:tc>
          <w:tcPr>
            <w:tcW w:w="112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9,673,432</w:t>
            </w:r>
          </w:p>
        </w:tc>
        <w:tc>
          <w:tcPr>
            <w:tcW w:w="112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7,521,055</w:t>
            </w:r>
          </w:p>
        </w:tc>
        <w:tc>
          <w:tcPr>
            <w:tcW w:w="1020" w:type="dxa"/>
            <w:vAlign w:val="bottom"/>
            <w:gridSpan w:val="2"/>
          </w:tcPr>
          <w:p>
            <w:pPr>
              <w:jc w:val="right"/>
              <w:ind w:right="60"/>
              <w:spacing w:after="0"/>
              <w:rPr>
                <w:sz w:val="20"/>
                <w:szCs w:val="20"/>
                <w:color w:val="auto"/>
              </w:rPr>
            </w:pPr>
            <w:r>
              <w:rPr>
                <w:rFonts w:ascii="Arial" w:cs="Arial" w:eastAsia="Arial" w:hAnsi="Arial"/>
                <w:sz w:val="18"/>
                <w:szCs w:val="18"/>
                <w:b w:val="1"/>
                <w:bCs w:val="1"/>
                <w:color w:val="auto"/>
              </w:rPr>
              <w:t>1,164,863</w:t>
            </w:r>
          </w:p>
        </w:tc>
      </w:tr>
      <w:tr>
        <w:trPr>
          <w:trHeight w:val="216"/>
        </w:trPr>
        <w:tc>
          <w:tcPr>
            <w:tcW w:w="4400" w:type="dxa"/>
            <w:vAlign w:val="bottom"/>
            <w:shd w:val="clear" w:color="auto" w:fill="CCEEFF"/>
          </w:tcPr>
          <w:p>
            <w:pPr>
              <w:ind w:left="360"/>
              <w:spacing w:after="0"/>
              <w:rPr>
                <w:sz w:val="20"/>
                <w:szCs w:val="20"/>
                <w:color w:val="auto"/>
              </w:rPr>
            </w:pPr>
            <w:r>
              <w:rPr>
                <w:rFonts w:ascii="Arial" w:cs="Arial" w:eastAsia="Arial" w:hAnsi="Arial"/>
                <w:sz w:val="18"/>
                <w:szCs w:val="18"/>
                <w:b w:val="1"/>
                <w:bCs w:val="1"/>
                <w:color w:val="auto"/>
              </w:rPr>
              <w:t>General and administrative</w:t>
            </w: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rPr>
              <w:t>15,335,232</w:t>
            </w: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rPr>
              <w:t>14,987,159</w:t>
            </w: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rPr>
              <w:t>2,321,215</w:t>
            </w: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rPr>
              <w:t>31,518,128</w:t>
            </w: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rPr>
              <w:t>29,678,982</w:t>
            </w: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b w:val="1"/>
                <w:bCs w:val="1"/>
                <w:color w:val="auto"/>
              </w:rPr>
              <w:t>4,596,689</w:t>
            </w:r>
          </w:p>
        </w:tc>
      </w:tr>
      <w:tr>
        <w:trPr>
          <w:trHeight w:val="216"/>
        </w:trPr>
        <w:tc>
          <w:tcPr>
            <w:tcW w:w="4400" w:type="dxa"/>
            <w:vAlign w:val="bottom"/>
          </w:tcPr>
          <w:p>
            <w:pPr>
              <w:ind w:left="360"/>
              <w:spacing w:after="0"/>
              <w:rPr>
                <w:sz w:val="20"/>
                <w:szCs w:val="20"/>
                <w:color w:val="auto"/>
              </w:rPr>
            </w:pPr>
            <w:r>
              <w:rPr>
                <w:rFonts w:ascii="Arial" w:cs="Arial" w:eastAsia="Arial" w:hAnsi="Arial"/>
                <w:sz w:val="18"/>
                <w:szCs w:val="18"/>
                <w:b w:val="1"/>
                <w:bCs w:val="1"/>
                <w:color w:val="auto"/>
              </w:rPr>
              <w:t>Research and development</w:t>
            </w:r>
          </w:p>
        </w:tc>
        <w:tc>
          <w:tcPr>
            <w:tcW w:w="112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1,149,040</w:t>
            </w:r>
          </w:p>
        </w:tc>
        <w:tc>
          <w:tcPr>
            <w:tcW w:w="112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746,830</w:t>
            </w:r>
          </w:p>
        </w:tc>
        <w:tc>
          <w:tcPr>
            <w:tcW w:w="112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115,669</w:t>
            </w:r>
          </w:p>
        </w:tc>
        <w:tc>
          <w:tcPr>
            <w:tcW w:w="112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2,361,594</w:t>
            </w:r>
          </w:p>
        </w:tc>
        <w:tc>
          <w:tcPr>
            <w:tcW w:w="112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1,778,609</w:t>
            </w:r>
          </w:p>
        </w:tc>
        <w:tc>
          <w:tcPr>
            <w:tcW w:w="1020" w:type="dxa"/>
            <w:vAlign w:val="bottom"/>
            <w:gridSpan w:val="2"/>
          </w:tcPr>
          <w:p>
            <w:pPr>
              <w:jc w:val="right"/>
              <w:ind w:right="60"/>
              <w:spacing w:after="0"/>
              <w:rPr>
                <w:sz w:val="20"/>
                <w:szCs w:val="20"/>
                <w:color w:val="auto"/>
              </w:rPr>
            </w:pPr>
            <w:r>
              <w:rPr>
                <w:rFonts w:ascii="Arial" w:cs="Arial" w:eastAsia="Arial" w:hAnsi="Arial"/>
                <w:sz w:val="18"/>
                <w:szCs w:val="18"/>
                <w:b w:val="1"/>
                <w:bCs w:val="1"/>
                <w:color w:val="auto"/>
              </w:rPr>
              <w:t>275,471</w:t>
            </w:r>
          </w:p>
        </w:tc>
      </w:tr>
      <w:tr>
        <w:trPr>
          <w:trHeight w:val="216"/>
        </w:trPr>
        <w:tc>
          <w:tcPr>
            <w:tcW w:w="440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ind w:left="680"/>
              <w:spacing w:after="0"/>
              <w:rPr>
                <w:sz w:val="20"/>
                <w:szCs w:val="20"/>
                <w:color w:val="auto"/>
              </w:rPr>
            </w:pPr>
            <w:r>
              <w:rPr>
                <w:rFonts w:ascii="Arial" w:cs="Arial" w:eastAsia="Arial" w:hAnsi="Arial"/>
                <w:sz w:val="18"/>
                <w:szCs w:val="18"/>
                <w:b w:val="1"/>
                <w:bCs w:val="1"/>
                <w:color w:val="auto"/>
              </w:rPr>
              <w:t>—</w:t>
            </w:r>
          </w:p>
        </w:tc>
        <w:tc>
          <w:tcPr>
            <w:tcW w:w="9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r>
      <w:tr>
        <w:trPr>
          <w:trHeight w:val="223"/>
        </w:trPr>
        <w:tc>
          <w:tcPr>
            <w:tcW w:w="4400" w:type="dxa"/>
            <w:vAlign w:val="bottom"/>
          </w:tcPr>
          <w:p>
            <w:pPr>
              <w:spacing w:after="0"/>
              <w:rPr>
                <w:sz w:val="20"/>
                <w:szCs w:val="20"/>
                <w:color w:val="auto"/>
              </w:rPr>
            </w:pPr>
            <w:r>
              <w:rPr>
                <w:rFonts w:ascii="Arial" w:cs="Arial" w:eastAsia="Arial" w:hAnsi="Arial"/>
                <w:sz w:val="18"/>
                <w:szCs w:val="18"/>
                <w:b w:val="1"/>
                <w:bCs w:val="1"/>
                <w:color w:val="auto"/>
              </w:rPr>
              <w:t>Non-GAAP adjusted net income</w:t>
            </w: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92,327,945</w:t>
            </w:r>
          </w:p>
        </w:tc>
        <w:tc>
          <w:tcPr>
            <w:tcW w:w="160" w:type="dxa"/>
            <w:vAlign w:val="bottom"/>
          </w:tcPr>
          <w:p>
            <w:pPr>
              <w:spacing w:after="0"/>
              <w:rPr>
                <w:sz w:val="19"/>
                <w:szCs w:val="19"/>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3"/>
              </w:rPr>
              <w:t>578,260,001</w:t>
            </w:r>
          </w:p>
        </w:tc>
        <w:tc>
          <w:tcPr>
            <w:tcW w:w="160" w:type="dxa"/>
            <w:vAlign w:val="bottom"/>
          </w:tcPr>
          <w:p>
            <w:pPr>
              <w:spacing w:after="0"/>
              <w:rPr>
                <w:sz w:val="19"/>
                <w:szCs w:val="19"/>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89,561,070</w:t>
            </w:r>
          </w:p>
        </w:tc>
        <w:tc>
          <w:tcPr>
            <w:tcW w:w="160" w:type="dxa"/>
            <w:vAlign w:val="bottom"/>
          </w:tcPr>
          <w:p>
            <w:pPr>
              <w:spacing w:after="0"/>
              <w:rPr>
                <w:sz w:val="19"/>
                <w:szCs w:val="19"/>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80,959,957</w:t>
            </w:r>
          </w:p>
        </w:tc>
        <w:tc>
          <w:tcPr>
            <w:tcW w:w="160" w:type="dxa"/>
            <w:vAlign w:val="bottom"/>
          </w:tcPr>
          <w:p>
            <w:pPr>
              <w:spacing w:after="0"/>
              <w:rPr>
                <w:sz w:val="19"/>
                <w:szCs w:val="19"/>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3"/>
              </w:rPr>
              <w:t>324,299,631</w:t>
            </w:r>
          </w:p>
        </w:tc>
        <w:tc>
          <w:tcPr>
            <w:tcW w:w="160" w:type="dxa"/>
            <w:vAlign w:val="bottom"/>
          </w:tcPr>
          <w:p>
            <w:pPr>
              <w:spacing w:after="0"/>
              <w:rPr>
                <w:sz w:val="19"/>
                <w:szCs w:val="19"/>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50,227,617</w:t>
            </w:r>
          </w:p>
        </w:tc>
        <w:tc>
          <w:tcPr>
            <w:tcW w:w="60" w:type="dxa"/>
            <w:vAlign w:val="bottom"/>
          </w:tcPr>
          <w:p>
            <w:pPr>
              <w:spacing w:after="0"/>
              <w:rPr>
                <w:sz w:val="19"/>
                <w:szCs w:val="19"/>
                <w:color w:val="auto"/>
              </w:rPr>
            </w:pPr>
          </w:p>
        </w:tc>
      </w:tr>
      <w:tr>
        <w:trPr>
          <w:trHeight w:val="20"/>
        </w:trPr>
        <w:tc>
          <w:tcPr>
            <w:tcW w:w="440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r>
        <w:trPr>
          <w:trHeight w:val="192"/>
        </w:trPr>
        <w:tc>
          <w:tcPr>
            <w:tcW w:w="4400" w:type="dxa"/>
            <w:vAlign w:val="bottom"/>
            <w:shd w:val="clear" w:color="auto" w:fill="CCEEFF"/>
          </w:tcPr>
          <w:p>
            <w:pPr>
              <w:spacing w:after="0" w:line="192" w:lineRule="exact"/>
              <w:rPr>
                <w:sz w:val="20"/>
                <w:szCs w:val="20"/>
                <w:color w:val="auto"/>
              </w:rPr>
            </w:pPr>
            <w:r>
              <w:rPr>
                <w:rFonts w:ascii="Arial" w:cs="Arial" w:eastAsia="Arial" w:hAnsi="Arial"/>
                <w:sz w:val="18"/>
                <w:szCs w:val="18"/>
                <w:b w:val="1"/>
                <w:bCs w:val="1"/>
                <w:color w:val="auto"/>
              </w:rPr>
              <w:t>Less: Net income attributable to non-controlling</w:t>
            </w:r>
          </w:p>
        </w:tc>
        <w:tc>
          <w:tcPr>
            <w:tcW w:w="96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96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96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96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96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96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r>
      <w:tr>
        <w:trPr>
          <w:trHeight w:val="234"/>
        </w:trPr>
        <w:tc>
          <w:tcPr>
            <w:tcW w:w="4400" w:type="dxa"/>
            <w:vAlign w:val="bottom"/>
            <w:shd w:val="clear" w:color="auto" w:fill="CCEEFF"/>
          </w:tcPr>
          <w:p>
            <w:pPr>
              <w:ind w:left="180"/>
              <w:spacing w:after="0"/>
              <w:rPr>
                <w:sz w:val="20"/>
                <w:szCs w:val="20"/>
                <w:color w:val="auto"/>
              </w:rPr>
            </w:pPr>
            <w:r>
              <w:rPr>
                <w:rFonts w:ascii="Arial" w:cs="Arial" w:eastAsia="Arial" w:hAnsi="Arial"/>
                <w:sz w:val="18"/>
                <w:szCs w:val="18"/>
                <w:b w:val="1"/>
                <w:bCs w:val="1"/>
                <w:color w:val="auto"/>
              </w:rPr>
              <w:t>interests</w:t>
            </w:r>
          </w:p>
        </w:tc>
        <w:tc>
          <w:tcPr>
            <w:tcW w:w="1120" w:type="dxa"/>
            <w:vAlign w:val="bottom"/>
            <w:gridSpan w:val="2"/>
            <w:shd w:val="clear" w:color="auto" w:fill="CCEEFF"/>
          </w:tcPr>
          <w:p>
            <w:pPr>
              <w:ind w:left="680"/>
              <w:spacing w:after="0"/>
              <w:rPr>
                <w:sz w:val="20"/>
                <w:szCs w:val="20"/>
                <w:color w:val="auto"/>
              </w:rPr>
            </w:pPr>
            <w:r>
              <w:rPr>
                <w:rFonts w:ascii="Arial" w:cs="Arial" w:eastAsia="Arial" w:hAnsi="Arial"/>
                <w:sz w:val="18"/>
                <w:szCs w:val="18"/>
                <w:b w:val="1"/>
                <w:bCs w:val="1"/>
                <w:color w:val="auto"/>
              </w:rPr>
              <w:t>—</w:t>
            </w:r>
          </w:p>
        </w:tc>
        <w:tc>
          <w:tcPr>
            <w:tcW w:w="1120" w:type="dxa"/>
            <w:vAlign w:val="bottom"/>
            <w:gridSpan w:val="2"/>
            <w:shd w:val="clear" w:color="auto" w:fill="CCEEFF"/>
          </w:tcPr>
          <w:p>
            <w:pPr>
              <w:ind w:left="680"/>
              <w:spacing w:after="0"/>
              <w:rPr>
                <w:sz w:val="20"/>
                <w:szCs w:val="20"/>
                <w:color w:val="auto"/>
              </w:rPr>
            </w:pPr>
            <w:r>
              <w:rPr>
                <w:rFonts w:ascii="Arial" w:cs="Arial" w:eastAsia="Arial" w:hAnsi="Arial"/>
                <w:sz w:val="18"/>
                <w:szCs w:val="18"/>
                <w:b w:val="1"/>
                <w:bCs w:val="1"/>
                <w:color w:val="auto"/>
              </w:rPr>
              <w:t>—</w:t>
            </w:r>
          </w:p>
        </w:tc>
        <w:tc>
          <w:tcPr>
            <w:tcW w:w="1120" w:type="dxa"/>
            <w:vAlign w:val="bottom"/>
            <w:gridSpan w:val="2"/>
            <w:shd w:val="clear" w:color="auto" w:fill="CCEEFF"/>
          </w:tcPr>
          <w:p>
            <w:pPr>
              <w:ind w:left="680"/>
              <w:spacing w:after="0"/>
              <w:rPr>
                <w:sz w:val="20"/>
                <w:szCs w:val="20"/>
                <w:color w:val="auto"/>
              </w:rPr>
            </w:pPr>
            <w:r>
              <w:rPr>
                <w:rFonts w:ascii="Arial" w:cs="Arial" w:eastAsia="Arial" w:hAnsi="Arial"/>
                <w:sz w:val="18"/>
                <w:szCs w:val="18"/>
                <w:b w:val="1"/>
                <w:bCs w:val="1"/>
                <w:color w:val="auto"/>
              </w:rPr>
              <w:t>—</w:t>
            </w: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rPr>
              <w:t>3,646,196</w:t>
            </w:r>
          </w:p>
        </w:tc>
        <w:tc>
          <w:tcPr>
            <w:tcW w:w="1120" w:type="dxa"/>
            <w:vAlign w:val="bottom"/>
            <w:gridSpan w:val="2"/>
            <w:shd w:val="clear" w:color="auto" w:fill="CCEEFF"/>
          </w:tcPr>
          <w:p>
            <w:pPr>
              <w:ind w:left="680"/>
              <w:spacing w:after="0"/>
              <w:rPr>
                <w:sz w:val="20"/>
                <w:szCs w:val="20"/>
                <w:color w:val="auto"/>
              </w:rPr>
            </w:pPr>
            <w:r>
              <w:rPr>
                <w:rFonts w:ascii="Arial" w:cs="Arial" w:eastAsia="Arial" w:hAnsi="Arial"/>
                <w:sz w:val="18"/>
                <w:szCs w:val="18"/>
                <w:b w:val="1"/>
                <w:bCs w:val="1"/>
                <w:color w:val="auto"/>
              </w:rPr>
              <w:t>—</w:t>
            </w:r>
          </w:p>
        </w:tc>
        <w:tc>
          <w:tcPr>
            <w:tcW w:w="1020" w:type="dxa"/>
            <w:vAlign w:val="bottom"/>
            <w:gridSpan w:val="2"/>
            <w:shd w:val="clear" w:color="auto" w:fill="CCEEFF"/>
          </w:tcPr>
          <w:p>
            <w:pPr>
              <w:ind w:left="680"/>
              <w:spacing w:after="0"/>
              <w:rPr>
                <w:sz w:val="20"/>
                <w:szCs w:val="20"/>
                <w:color w:val="auto"/>
              </w:rPr>
            </w:pPr>
            <w:r>
              <w:rPr>
                <w:rFonts w:ascii="Arial" w:cs="Arial" w:eastAsia="Arial" w:hAnsi="Arial"/>
                <w:sz w:val="18"/>
                <w:szCs w:val="18"/>
                <w:b w:val="1"/>
                <w:bCs w:val="1"/>
                <w:color w:val="auto"/>
              </w:rPr>
              <w:t>—</w:t>
            </w:r>
          </w:p>
        </w:tc>
      </w:tr>
      <w:tr>
        <w:trPr>
          <w:trHeight w:val="216"/>
        </w:trPr>
        <w:tc>
          <w:tcPr>
            <w:tcW w:w="4400" w:type="dxa"/>
            <w:vAlign w:val="bottom"/>
          </w:tcPr>
          <w:p>
            <w:pPr>
              <w:spacing w:after="0"/>
              <w:rPr>
                <w:sz w:val="20"/>
                <w:szCs w:val="20"/>
                <w:color w:val="auto"/>
              </w:rPr>
            </w:pPr>
            <w:r>
              <w:rPr>
                <w:rFonts w:ascii="Arial" w:cs="Arial" w:eastAsia="Arial" w:hAnsi="Arial"/>
                <w:sz w:val="18"/>
                <w:szCs w:val="18"/>
                <w:b w:val="1"/>
                <w:bCs w:val="1"/>
                <w:color w:val="auto"/>
                <w:w w:val="96"/>
              </w:rPr>
              <w:t>Net income attributable to Cango Inc.’s shareholders</w:t>
            </w:r>
          </w:p>
        </w:tc>
        <w:tc>
          <w:tcPr>
            <w:tcW w:w="112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92,327,945</w:t>
            </w:r>
          </w:p>
        </w:tc>
        <w:tc>
          <w:tcPr>
            <w:tcW w:w="112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w w:val="93"/>
              </w:rPr>
              <w:t>578,260,001</w:t>
            </w:r>
          </w:p>
        </w:tc>
        <w:tc>
          <w:tcPr>
            <w:tcW w:w="112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89,561,070</w:t>
            </w:r>
          </w:p>
        </w:tc>
        <w:tc>
          <w:tcPr>
            <w:tcW w:w="112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77,313,761</w:t>
            </w:r>
          </w:p>
        </w:tc>
        <w:tc>
          <w:tcPr>
            <w:tcW w:w="112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w w:val="93"/>
              </w:rPr>
              <w:t>324,299,631</w:t>
            </w:r>
          </w:p>
        </w:tc>
        <w:tc>
          <w:tcPr>
            <w:tcW w:w="1020" w:type="dxa"/>
            <w:vAlign w:val="bottom"/>
            <w:gridSpan w:val="2"/>
          </w:tcPr>
          <w:p>
            <w:pPr>
              <w:jc w:val="right"/>
              <w:ind w:right="60"/>
              <w:spacing w:after="0"/>
              <w:rPr>
                <w:sz w:val="20"/>
                <w:szCs w:val="20"/>
                <w:color w:val="auto"/>
              </w:rPr>
            </w:pPr>
            <w:r>
              <w:rPr>
                <w:rFonts w:ascii="Arial" w:cs="Arial" w:eastAsia="Arial" w:hAnsi="Arial"/>
                <w:sz w:val="18"/>
                <w:szCs w:val="18"/>
                <w:b w:val="1"/>
                <w:bCs w:val="1"/>
                <w:color w:val="auto"/>
              </w:rPr>
              <w:t>50,227,617</w:t>
            </w:r>
          </w:p>
        </w:tc>
      </w:tr>
      <w:tr>
        <w:trPr>
          <w:trHeight w:val="20"/>
        </w:trPr>
        <w:tc>
          <w:tcPr>
            <w:tcW w:w="4400" w:type="dxa"/>
            <w:vAlign w:val="bottom"/>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r>
        <w:trPr>
          <w:trHeight w:val="102"/>
        </w:trPr>
        <w:tc>
          <w:tcPr>
            <w:tcW w:w="4400" w:type="dxa"/>
            <w:vAlign w:val="bottom"/>
          </w:tcPr>
          <w:p>
            <w:pPr>
              <w:spacing w:after="0"/>
              <w:rPr>
                <w:sz w:val="8"/>
                <w:szCs w:val="8"/>
                <w:color w:val="auto"/>
              </w:rPr>
            </w:pPr>
          </w:p>
        </w:tc>
        <w:tc>
          <w:tcPr>
            <w:tcW w:w="960" w:type="dxa"/>
            <w:vAlign w:val="bottom"/>
          </w:tcPr>
          <w:p>
            <w:pPr>
              <w:spacing w:after="0"/>
              <w:rPr>
                <w:sz w:val="8"/>
                <w:szCs w:val="8"/>
                <w:color w:val="auto"/>
              </w:rPr>
            </w:pPr>
          </w:p>
        </w:tc>
        <w:tc>
          <w:tcPr>
            <w:tcW w:w="160" w:type="dxa"/>
            <w:vAlign w:val="bottom"/>
          </w:tcPr>
          <w:p>
            <w:pPr>
              <w:spacing w:after="0"/>
              <w:rPr>
                <w:sz w:val="8"/>
                <w:szCs w:val="8"/>
                <w:color w:val="auto"/>
              </w:rPr>
            </w:pPr>
          </w:p>
        </w:tc>
        <w:tc>
          <w:tcPr>
            <w:tcW w:w="960" w:type="dxa"/>
            <w:vAlign w:val="bottom"/>
          </w:tcPr>
          <w:p>
            <w:pPr>
              <w:spacing w:after="0"/>
              <w:rPr>
                <w:sz w:val="8"/>
                <w:szCs w:val="8"/>
                <w:color w:val="auto"/>
              </w:rPr>
            </w:pPr>
          </w:p>
        </w:tc>
        <w:tc>
          <w:tcPr>
            <w:tcW w:w="160" w:type="dxa"/>
            <w:vAlign w:val="bottom"/>
          </w:tcPr>
          <w:p>
            <w:pPr>
              <w:spacing w:after="0"/>
              <w:rPr>
                <w:sz w:val="8"/>
                <w:szCs w:val="8"/>
                <w:color w:val="auto"/>
              </w:rPr>
            </w:pPr>
          </w:p>
        </w:tc>
        <w:tc>
          <w:tcPr>
            <w:tcW w:w="960" w:type="dxa"/>
            <w:vAlign w:val="bottom"/>
          </w:tcPr>
          <w:p>
            <w:pPr>
              <w:spacing w:after="0"/>
              <w:rPr>
                <w:sz w:val="8"/>
                <w:szCs w:val="8"/>
                <w:color w:val="auto"/>
              </w:rPr>
            </w:pPr>
          </w:p>
        </w:tc>
        <w:tc>
          <w:tcPr>
            <w:tcW w:w="160" w:type="dxa"/>
            <w:vAlign w:val="bottom"/>
          </w:tcPr>
          <w:p>
            <w:pPr>
              <w:spacing w:after="0"/>
              <w:rPr>
                <w:sz w:val="8"/>
                <w:szCs w:val="8"/>
                <w:color w:val="auto"/>
              </w:rPr>
            </w:pPr>
          </w:p>
        </w:tc>
        <w:tc>
          <w:tcPr>
            <w:tcW w:w="960" w:type="dxa"/>
            <w:vAlign w:val="bottom"/>
          </w:tcPr>
          <w:p>
            <w:pPr>
              <w:spacing w:after="0"/>
              <w:rPr>
                <w:sz w:val="8"/>
                <w:szCs w:val="8"/>
                <w:color w:val="auto"/>
              </w:rPr>
            </w:pPr>
          </w:p>
        </w:tc>
        <w:tc>
          <w:tcPr>
            <w:tcW w:w="160" w:type="dxa"/>
            <w:vAlign w:val="bottom"/>
          </w:tcPr>
          <w:p>
            <w:pPr>
              <w:spacing w:after="0"/>
              <w:rPr>
                <w:sz w:val="8"/>
                <w:szCs w:val="8"/>
                <w:color w:val="auto"/>
              </w:rPr>
            </w:pPr>
          </w:p>
        </w:tc>
        <w:tc>
          <w:tcPr>
            <w:tcW w:w="960" w:type="dxa"/>
            <w:vAlign w:val="bottom"/>
          </w:tcPr>
          <w:p>
            <w:pPr>
              <w:spacing w:after="0"/>
              <w:rPr>
                <w:sz w:val="8"/>
                <w:szCs w:val="8"/>
                <w:color w:val="auto"/>
              </w:rPr>
            </w:pPr>
          </w:p>
        </w:tc>
        <w:tc>
          <w:tcPr>
            <w:tcW w:w="160" w:type="dxa"/>
            <w:vAlign w:val="bottom"/>
          </w:tcPr>
          <w:p>
            <w:pPr>
              <w:spacing w:after="0"/>
              <w:rPr>
                <w:sz w:val="8"/>
                <w:szCs w:val="8"/>
                <w:color w:val="auto"/>
              </w:rPr>
            </w:pPr>
          </w:p>
        </w:tc>
        <w:tc>
          <w:tcPr>
            <w:tcW w:w="960" w:type="dxa"/>
            <w:vAlign w:val="bottom"/>
          </w:tcPr>
          <w:p>
            <w:pPr>
              <w:spacing w:after="0"/>
              <w:rPr>
                <w:sz w:val="8"/>
                <w:szCs w:val="8"/>
                <w:color w:val="auto"/>
              </w:rPr>
            </w:pPr>
          </w:p>
        </w:tc>
        <w:tc>
          <w:tcPr>
            <w:tcW w:w="60" w:type="dxa"/>
            <w:vAlign w:val="bottom"/>
          </w:tcPr>
          <w:p>
            <w:pPr>
              <w:spacing w:after="0"/>
              <w:rPr>
                <w:sz w:val="8"/>
                <w:szCs w:val="8"/>
                <w:color w:val="auto"/>
              </w:rPr>
            </w:pPr>
          </w:p>
        </w:tc>
      </w:tr>
      <w:tr>
        <w:trPr>
          <w:trHeight w:val="216"/>
        </w:trPr>
        <w:tc>
          <w:tcPr>
            <w:tcW w:w="44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Non-GAAP adjusted net income per ADS-basic</w:t>
            </w: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rPr>
              <w:t>0.61</w:t>
            </w: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rPr>
              <w:t>3.99</w:t>
            </w: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rPr>
              <w:t>0.62</w:t>
            </w: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rPr>
              <w:t>0.51</w:t>
            </w: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rPr>
              <w:t>2.21</w:t>
            </w: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b w:val="1"/>
                <w:bCs w:val="1"/>
                <w:color w:val="auto"/>
              </w:rPr>
              <w:t>0.34</w:t>
            </w:r>
          </w:p>
        </w:tc>
      </w:tr>
      <w:tr>
        <w:trPr>
          <w:trHeight w:val="234"/>
        </w:trPr>
        <w:tc>
          <w:tcPr>
            <w:tcW w:w="4400" w:type="dxa"/>
            <w:vAlign w:val="bottom"/>
          </w:tcPr>
          <w:p>
            <w:pPr>
              <w:spacing w:after="0"/>
              <w:rPr>
                <w:sz w:val="20"/>
                <w:szCs w:val="20"/>
                <w:color w:val="auto"/>
              </w:rPr>
            </w:pPr>
            <w:r>
              <w:rPr>
                <w:rFonts w:ascii="Arial" w:cs="Arial" w:eastAsia="Arial" w:hAnsi="Arial"/>
                <w:sz w:val="18"/>
                <w:szCs w:val="18"/>
                <w:b w:val="1"/>
                <w:bCs w:val="1"/>
                <w:color w:val="auto"/>
              </w:rPr>
              <w:t>Non-GAAP adjusted net income per ADS-diluted</w:t>
            </w:r>
          </w:p>
        </w:tc>
        <w:tc>
          <w:tcPr>
            <w:tcW w:w="112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0.61</w:t>
            </w:r>
          </w:p>
        </w:tc>
        <w:tc>
          <w:tcPr>
            <w:tcW w:w="112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3.89</w:t>
            </w:r>
          </w:p>
        </w:tc>
        <w:tc>
          <w:tcPr>
            <w:tcW w:w="112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0.60</w:t>
            </w:r>
          </w:p>
        </w:tc>
        <w:tc>
          <w:tcPr>
            <w:tcW w:w="112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0.51</w:t>
            </w:r>
          </w:p>
        </w:tc>
        <w:tc>
          <w:tcPr>
            <w:tcW w:w="112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2.16</w:t>
            </w:r>
          </w:p>
        </w:tc>
        <w:tc>
          <w:tcPr>
            <w:tcW w:w="1020" w:type="dxa"/>
            <w:vAlign w:val="bottom"/>
            <w:gridSpan w:val="2"/>
          </w:tcPr>
          <w:p>
            <w:pPr>
              <w:jc w:val="right"/>
              <w:ind w:right="60"/>
              <w:spacing w:after="0"/>
              <w:rPr>
                <w:sz w:val="20"/>
                <w:szCs w:val="20"/>
                <w:color w:val="auto"/>
              </w:rPr>
            </w:pPr>
            <w:r>
              <w:rPr>
                <w:rFonts w:ascii="Arial" w:cs="Arial" w:eastAsia="Arial" w:hAnsi="Arial"/>
                <w:sz w:val="18"/>
                <w:szCs w:val="18"/>
                <w:b w:val="1"/>
                <w:bCs w:val="1"/>
                <w:color w:val="auto"/>
              </w:rPr>
              <w:t>0.33</w:t>
            </w:r>
          </w:p>
        </w:tc>
      </w:tr>
      <w:tr>
        <w:trPr>
          <w:trHeight w:val="90"/>
        </w:trPr>
        <w:tc>
          <w:tcPr>
            <w:tcW w:w="4400" w:type="dxa"/>
            <w:vAlign w:val="bottom"/>
          </w:tcPr>
          <w:p>
            <w:pPr>
              <w:spacing w:after="0"/>
              <w:rPr>
                <w:sz w:val="7"/>
                <w:szCs w:val="7"/>
                <w:color w:val="auto"/>
              </w:rPr>
            </w:pPr>
          </w:p>
        </w:tc>
        <w:tc>
          <w:tcPr>
            <w:tcW w:w="960" w:type="dxa"/>
            <w:vAlign w:val="bottom"/>
          </w:tcPr>
          <w:p>
            <w:pPr>
              <w:spacing w:after="0"/>
              <w:rPr>
                <w:sz w:val="7"/>
                <w:szCs w:val="7"/>
                <w:color w:val="auto"/>
              </w:rPr>
            </w:pPr>
          </w:p>
        </w:tc>
        <w:tc>
          <w:tcPr>
            <w:tcW w:w="160" w:type="dxa"/>
            <w:vAlign w:val="bottom"/>
          </w:tcPr>
          <w:p>
            <w:pPr>
              <w:spacing w:after="0"/>
              <w:rPr>
                <w:sz w:val="7"/>
                <w:szCs w:val="7"/>
                <w:color w:val="auto"/>
              </w:rPr>
            </w:pPr>
          </w:p>
        </w:tc>
        <w:tc>
          <w:tcPr>
            <w:tcW w:w="960" w:type="dxa"/>
            <w:vAlign w:val="bottom"/>
          </w:tcPr>
          <w:p>
            <w:pPr>
              <w:spacing w:after="0"/>
              <w:rPr>
                <w:sz w:val="7"/>
                <w:szCs w:val="7"/>
                <w:color w:val="auto"/>
              </w:rPr>
            </w:pPr>
          </w:p>
        </w:tc>
        <w:tc>
          <w:tcPr>
            <w:tcW w:w="160" w:type="dxa"/>
            <w:vAlign w:val="bottom"/>
          </w:tcPr>
          <w:p>
            <w:pPr>
              <w:spacing w:after="0"/>
              <w:rPr>
                <w:sz w:val="7"/>
                <w:szCs w:val="7"/>
                <w:color w:val="auto"/>
              </w:rPr>
            </w:pPr>
          </w:p>
        </w:tc>
        <w:tc>
          <w:tcPr>
            <w:tcW w:w="960" w:type="dxa"/>
            <w:vAlign w:val="bottom"/>
          </w:tcPr>
          <w:p>
            <w:pPr>
              <w:spacing w:after="0"/>
              <w:rPr>
                <w:sz w:val="7"/>
                <w:szCs w:val="7"/>
                <w:color w:val="auto"/>
              </w:rPr>
            </w:pPr>
          </w:p>
        </w:tc>
        <w:tc>
          <w:tcPr>
            <w:tcW w:w="160" w:type="dxa"/>
            <w:vAlign w:val="bottom"/>
          </w:tcPr>
          <w:p>
            <w:pPr>
              <w:spacing w:after="0"/>
              <w:rPr>
                <w:sz w:val="7"/>
                <w:szCs w:val="7"/>
                <w:color w:val="auto"/>
              </w:rPr>
            </w:pPr>
          </w:p>
        </w:tc>
        <w:tc>
          <w:tcPr>
            <w:tcW w:w="960" w:type="dxa"/>
            <w:vAlign w:val="bottom"/>
          </w:tcPr>
          <w:p>
            <w:pPr>
              <w:spacing w:after="0"/>
              <w:rPr>
                <w:sz w:val="7"/>
                <w:szCs w:val="7"/>
                <w:color w:val="auto"/>
              </w:rPr>
            </w:pPr>
          </w:p>
        </w:tc>
        <w:tc>
          <w:tcPr>
            <w:tcW w:w="160" w:type="dxa"/>
            <w:vAlign w:val="bottom"/>
          </w:tcPr>
          <w:p>
            <w:pPr>
              <w:spacing w:after="0"/>
              <w:rPr>
                <w:sz w:val="7"/>
                <w:szCs w:val="7"/>
                <w:color w:val="auto"/>
              </w:rPr>
            </w:pPr>
          </w:p>
        </w:tc>
        <w:tc>
          <w:tcPr>
            <w:tcW w:w="960" w:type="dxa"/>
            <w:vAlign w:val="bottom"/>
          </w:tcPr>
          <w:p>
            <w:pPr>
              <w:spacing w:after="0"/>
              <w:rPr>
                <w:sz w:val="7"/>
                <w:szCs w:val="7"/>
                <w:color w:val="auto"/>
              </w:rPr>
            </w:pPr>
          </w:p>
        </w:tc>
        <w:tc>
          <w:tcPr>
            <w:tcW w:w="160" w:type="dxa"/>
            <w:vAlign w:val="bottom"/>
          </w:tcPr>
          <w:p>
            <w:pPr>
              <w:spacing w:after="0"/>
              <w:rPr>
                <w:sz w:val="7"/>
                <w:szCs w:val="7"/>
                <w:color w:val="auto"/>
              </w:rPr>
            </w:pPr>
          </w:p>
        </w:tc>
        <w:tc>
          <w:tcPr>
            <w:tcW w:w="960" w:type="dxa"/>
            <w:vAlign w:val="bottom"/>
          </w:tcPr>
          <w:p>
            <w:pPr>
              <w:spacing w:after="0"/>
              <w:rPr>
                <w:sz w:val="7"/>
                <w:szCs w:val="7"/>
                <w:color w:val="auto"/>
              </w:rPr>
            </w:pPr>
          </w:p>
        </w:tc>
        <w:tc>
          <w:tcPr>
            <w:tcW w:w="60" w:type="dxa"/>
            <w:vAlign w:val="bottom"/>
          </w:tcPr>
          <w:p>
            <w:pPr>
              <w:spacing w:after="0"/>
              <w:rPr>
                <w:sz w:val="7"/>
                <w:szCs w:val="7"/>
                <w:color w:val="auto"/>
              </w:rPr>
            </w:pPr>
          </w:p>
        </w:tc>
      </w:tr>
      <w:tr>
        <w:trPr>
          <w:trHeight w:val="216"/>
        </w:trPr>
        <w:tc>
          <w:tcPr>
            <w:tcW w:w="44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Weighted average ADS outstanding—basic</w:t>
            </w: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w w:val="93"/>
              </w:rPr>
              <w:t>150,605,540</w:t>
            </w: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w w:val="93"/>
              </w:rPr>
              <w:t>144,829,122</w:t>
            </w: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w w:val="93"/>
              </w:rPr>
              <w:t>144,829,122</w:t>
            </w: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w w:val="93"/>
              </w:rPr>
              <w:t>150,789,465</w:t>
            </w: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w w:val="93"/>
              </w:rPr>
              <w:t>147,012,155</w:t>
            </w: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b w:val="1"/>
                <w:bCs w:val="1"/>
                <w:color w:val="auto"/>
                <w:w w:val="93"/>
              </w:rPr>
              <w:t>147,012,155</w:t>
            </w:r>
          </w:p>
        </w:tc>
      </w:tr>
      <w:tr>
        <w:trPr>
          <w:trHeight w:val="234"/>
        </w:trPr>
        <w:tc>
          <w:tcPr>
            <w:tcW w:w="4400" w:type="dxa"/>
            <w:vAlign w:val="bottom"/>
          </w:tcPr>
          <w:p>
            <w:pPr>
              <w:spacing w:after="0"/>
              <w:rPr>
                <w:sz w:val="20"/>
                <w:szCs w:val="20"/>
                <w:color w:val="auto"/>
              </w:rPr>
            </w:pPr>
            <w:r>
              <w:rPr>
                <w:rFonts w:ascii="Arial" w:cs="Arial" w:eastAsia="Arial" w:hAnsi="Arial"/>
                <w:sz w:val="18"/>
                <w:szCs w:val="18"/>
                <w:b w:val="1"/>
                <w:bCs w:val="1"/>
                <w:color w:val="auto"/>
              </w:rPr>
              <w:t>Weighted average ADS outstanding—diluted</w:t>
            </w:r>
          </w:p>
        </w:tc>
        <w:tc>
          <w:tcPr>
            <w:tcW w:w="112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w w:val="93"/>
              </w:rPr>
              <w:t>150,819,440</w:t>
            </w:r>
          </w:p>
        </w:tc>
        <w:tc>
          <w:tcPr>
            <w:tcW w:w="112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w w:val="93"/>
              </w:rPr>
              <w:t>148,579,948</w:t>
            </w:r>
          </w:p>
        </w:tc>
        <w:tc>
          <w:tcPr>
            <w:tcW w:w="112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w w:val="93"/>
              </w:rPr>
              <w:t>148,579,948</w:t>
            </w:r>
          </w:p>
        </w:tc>
        <w:tc>
          <w:tcPr>
            <w:tcW w:w="112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w w:val="93"/>
              </w:rPr>
              <w:t>151,899,153</w:t>
            </w:r>
          </w:p>
        </w:tc>
        <w:tc>
          <w:tcPr>
            <w:tcW w:w="112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w w:val="93"/>
              </w:rPr>
              <w:t>150,005,282</w:t>
            </w:r>
          </w:p>
        </w:tc>
        <w:tc>
          <w:tcPr>
            <w:tcW w:w="1020" w:type="dxa"/>
            <w:vAlign w:val="bottom"/>
            <w:gridSpan w:val="2"/>
          </w:tcPr>
          <w:p>
            <w:pPr>
              <w:jc w:val="right"/>
              <w:ind w:right="60"/>
              <w:spacing w:after="0"/>
              <w:rPr>
                <w:sz w:val="20"/>
                <w:szCs w:val="20"/>
                <w:color w:val="auto"/>
              </w:rPr>
            </w:pPr>
            <w:r>
              <w:rPr>
                <w:rFonts w:ascii="Arial" w:cs="Arial" w:eastAsia="Arial" w:hAnsi="Arial"/>
                <w:sz w:val="18"/>
                <w:szCs w:val="18"/>
                <w:b w:val="1"/>
                <w:bCs w:val="1"/>
                <w:color w:val="auto"/>
                <w:w w:val="93"/>
              </w:rPr>
              <w:t>150,005,282</w:t>
            </w:r>
          </w:p>
        </w:tc>
      </w:tr>
    </w:tbl>
    <w:p>
      <w:pPr>
        <w:sectPr>
          <w:pgSz w:w="11900" w:h="16838" w:orient="portrait"/>
          <w:cols w:equalWidth="0" w:num="1">
            <w:col w:w="11020"/>
          </w:cols>
          <w:pgMar w:left="440" w:top="270" w:right="439" w:bottom="1440" w:gutter="0" w:footer="0" w:header="0"/>
        </w:sectPr>
      </w:pPr>
    </w:p>
    <w:bookmarkStart w:id="13" w:name="page14"/>
    <w:bookmarkEnd w:id="13"/>
    <w:p>
      <w:pPr>
        <w:jc w:val="right"/>
        <w:spacing w:after="0"/>
        <w:rPr>
          <w:sz w:val="20"/>
          <w:szCs w:val="20"/>
          <w:color w:val="auto"/>
        </w:rPr>
      </w:pPr>
      <w:r>
        <w:rPr>
          <w:rFonts w:ascii="Arial" w:cs="Arial" w:eastAsia="Arial" w:hAnsi="Arial"/>
          <w:sz w:val="18"/>
          <w:szCs w:val="18"/>
          <w:b w:val="1"/>
          <w:bCs w:val="1"/>
          <w:color w:val="auto"/>
        </w:rPr>
        <w:t>Exhibit 99.2</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CANGO INC. ANNOUNCES UP TO US$50 MILLION NEW SHARE REPURCHASE PROGRAM</w:t>
      </w:r>
    </w:p>
    <w:p>
      <w:pPr>
        <w:spacing w:after="0" w:line="229" w:lineRule="exact"/>
        <w:rPr>
          <w:sz w:val="20"/>
          <w:szCs w:val="20"/>
          <w:color w:val="auto"/>
        </w:rPr>
      </w:pPr>
    </w:p>
    <w:p>
      <w:pPr>
        <w:spacing w:after="0"/>
        <w:rPr>
          <w:sz w:val="20"/>
          <w:szCs w:val="20"/>
          <w:color w:val="auto"/>
        </w:rPr>
      </w:pPr>
      <w:r>
        <w:rPr>
          <w:rFonts w:ascii="Arial" w:cs="Arial" w:eastAsia="Arial" w:hAnsi="Arial"/>
          <w:sz w:val="17"/>
          <w:szCs w:val="17"/>
          <w:color w:val="auto"/>
        </w:rPr>
        <w:t>SHANGHAI, August 19, 2021, /PRNewswire/ — Cango Inc. (NYSE: CANG) (“Cango” or the “Company”), a leading automotive transaction service</w:t>
      </w:r>
    </w:p>
    <w:p>
      <w:pPr>
        <w:spacing w:after="0" w:line="35" w:lineRule="exact"/>
        <w:rPr>
          <w:sz w:val="20"/>
          <w:szCs w:val="20"/>
          <w:color w:val="auto"/>
        </w:rPr>
      </w:pPr>
    </w:p>
    <w:p>
      <w:pPr>
        <w:spacing w:after="0"/>
        <w:rPr>
          <w:sz w:val="20"/>
          <w:szCs w:val="20"/>
          <w:color w:val="auto"/>
        </w:rPr>
      </w:pPr>
      <w:r>
        <w:rPr>
          <w:rFonts w:ascii="Arial" w:cs="Arial" w:eastAsia="Arial" w:hAnsi="Arial"/>
          <w:sz w:val="16"/>
          <w:szCs w:val="16"/>
          <w:color w:val="auto"/>
        </w:rPr>
        <w:t>platform in China, today announced that its board of directors has authorized a new share repurchase program (the “New Share Repurchase Program”)</w:t>
      </w:r>
    </w:p>
    <w:p>
      <w:pPr>
        <w:spacing w:after="0" w:line="32" w:lineRule="exact"/>
        <w:rPr>
          <w:sz w:val="20"/>
          <w:szCs w:val="20"/>
          <w:color w:val="auto"/>
        </w:rPr>
      </w:pPr>
    </w:p>
    <w:p>
      <w:pPr>
        <w:spacing w:after="0"/>
        <w:rPr>
          <w:sz w:val="20"/>
          <w:szCs w:val="20"/>
          <w:color w:val="auto"/>
        </w:rPr>
      </w:pPr>
      <w:r>
        <w:rPr>
          <w:rFonts w:ascii="Arial" w:cs="Arial" w:eastAsia="Arial" w:hAnsi="Arial"/>
          <w:sz w:val="16"/>
          <w:szCs w:val="16"/>
          <w:color w:val="auto"/>
        </w:rPr>
        <w:t>under which the Company may repurchase up to US$50 million worth of its outstanding (i) American depositary shares (“ADSs”), each representing</w:t>
      </w:r>
    </w:p>
    <w:p>
      <w:pPr>
        <w:spacing w:after="0" w:line="32" w:lineRule="exact"/>
        <w:rPr>
          <w:sz w:val="20"/>
          <w:szCs w:val="20"/>
          <w:color w:val="auto"/>
        </w:rPr>
      </w:pPr>
    </w:p>
    <w:p>
      <w:pPr>
        <w:spacing w:after="0"/>
        <w:rPr>
          <w:sz w:val="20"/>
          <w:szCs w:val="20"/>
          <w:color w:val="auto"/>
        </w:rPr>
      </w:pPr>
      <w:r>
        <w:rPr>
          <w:rFonts w:ascii="Arial" w:cs="Arial" w:eastAsia="Arial" w:hAnsi="Arial"/>
          <w:sz w:val="17"/>
          <w:szCs w:val="17"/>
          <w:color w:val="auto"/>
        </w:rPr>
        <w:t>two Class A ordinary shares, and/or (ii) Class A ordinary shares over the next 12 months starting from August 26, 2021. On March 2, 2021, the</w:t>
      </w:r>
    </w:p>
    <w:p>
      <w:pPr>
        <w:spacing w:after="0" w:line="21" w:lineRule="exact"/>
        <w:rPr>
          <w:sz w:val="20"/>
          <w:szCs w:val="20"/>
          <w:color w:val="auto"/>
        </w:rPr>
      </w:pPr>
    </w:p>
    <w:p>
      <w:pPr>
        <w:spacing w:after="0"/>
        <w:rPr>
          <w:sz w:val="20"/>
          <w:szCs w:val="20"/>
          <w:color w:val="auto"/>
        </w:rPr>
      </w:pPr>
      <w:r>
        <w:rPr>
          <w:rFonts w:ascii="Arial" w:cs="Arial" w:eastAsia="Arial" w:hAnsi="Arial"/>
          <w:sz w:val="17"/>
          <w:szCs w:val="17"/>
          <w:color w:val="auto"/>
        </w:rPr>
        <w:t>Company announced a share repurchase program (the “Existing Share Repurchase Program”) under which the Company may repurchase up to</w:t>
      </w:r>
    </w:p>
    <w:p>
      <w:pPr>
        <w:spacing w:after="0" w:line="21" w:lineRule="exact"/>
        <w:rPr>
          <w:sz w:val="20"/>
          <w:szCs w:val="20"/>
          <w:color w:val="auto"/>
        </w:rPr>
      </w:pPr>
    </w:p>
    <w:p>
      <w:pPr>
        <w:spacing w:after="0"/>
        <w:rPr>
          <w:sz w:val="20"/>
          <w:szCs w:val="20"/>
          <w:color w:val="auto"/>
        </w:rPr>
      </w:pPr>
      <w:r>
        <w:rPr>
          <w:rFonts w:ascii="Arial" w:cs="Arial" w:eastAsia="Arial" w:hAnsi="Arial"/>
          <w:sz w:val="16"/>
          <w:szCs w:val="16"/>
          <w:color w:val="auto"/>
        </w:rPr>
        <w:t>US$50 million worth of its outstanding ADSs and/or Class A ordinary shares. Pursuant to the Existing Share Repurchase Program, the Company had</w:t>
      </w:r>
    </w:p>
    <w:p>
      <w:pPr>
        <w:spacing w:after="0" w:line="32" w:lineRule="exact"/>
        <w:rPr>
          <w:sz w:val="20"/>
          <w:szCs w:val="20"/>
          <w:color w:val="auto"/>
        </w:rPr>
      </w:pPr>
    </w:p>
    <w:p>
      <w:pPr>
        <w:spacing w:after="0"/>
        <w:rPr>
          <w:sz w:val="20"/>
          <w:szCs w:val="20"/>
          <w:color w:val="auto"/>
        </w:rPr>
      </w:pPr>
      <w:r>
        <w:rPr>
          <w:rFonts w:ascii="Arial" w:cs="Arial" w:eastAsia="Arial" w:hAnsi="Arial"/>
          <w:sz w:val="18"/>
          <w:szCs w:val="18"/>
          <w:color w:val="auto"/>
        </w:rPr>
        <w:t>repurchased 5,397,207 ADSs with cash in the aggregate amount of approximately US$48.4 million up to July 31, 2021.</w:t>
      </w:r>
    </w:p>
    <w:p>
      <w:pPr>
        <w:spacing w:after="0" w:line="211" w:lineRule="exact"/>
        <w:rPr>
          <w:sz w:val="20"/>
          <w:szCs w:val="20"/>
          <w:color w:val="auto"/>
        </w:rPr>
      </w:pPr>
    </w:p>
    <w:p>
      <w:pPr>
        <w:ind w:right="80"/>
        <w:spacing w:after="0" w:line="254" w:lineRule="auto"/>
        <w:rPr>
          <w:sz w:val="20"/>
          <w:szCs w:val="20"/>
          <w:color w:val="auto"/>
        </w:rPr>
      </w:pPr>
      <w:r>
        <w:rPr>
          <w:rFonts w:ascii="Arial" w:cs="Arial" w:eastAsia="Arial" w:hAnsi="Arial"/>
          <w:sz w:val="18"/>
          <w:szCs w:val="18"/>
          <w:color w:val="auto"/>
        </w:rPr>
        <w:t>Under the New Share Repurchase Program, the Company may repurchase its ADSs from time to time through open market transactions at prevailing market prices, privately negotiated transactions, block trades or any combination thereof. In addition, Cango will also effect repurchase transactions in compliance with Rule 10b5-1 and/or Rule 10b-18 under the Securities Exchange Act of 1934, as amended, and its insider trading policy. The number of ADSs repurchased and the timing of repurchases will depend on a number of factors, including, but not limited to, price, trading volume and general market conditions, along with Cango’s working capital requirements and general business conditions. The Company’s board of directors will review the New Share Repurchase Program periodically, and may authorize adjustment of its terms and size. The Company plans to fund the repurchases from its existing cash balance.</w:t>
      </w:r>
    </w:p>
    <w:p>
      <w:pPr>
        <w:spacing w:after="0" w:line="29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About Cango Inc.</w:t>
      </w:r>
    </w:p>
    <w:p>
      <w:pPr>
        <w:spacing w:after="0" w:line="121" w:lineRule="exact"/>
        <w:rPr>
          <w:sz w:val="20"/>
          <w:szCs w:val="20"/>
          <w:color w:val="auto"/>
        </w:rPr>
      </w:pPr>
    </w:p>
    <w:p>
      <w:pPr>
        <w:ind w:right="20"/>
        <w:spacing w:after="0" w:line="272" w:lineRule="auto"/>
        <w:rPr>
          <w:sz w:val="20"/>
          <w:szCs w:val="20"/>
          <w:color w:val="auto"/>
        </w:rPr>
      </w:pPr>
      <w:r>
        <w:rPr>
          <w:rFonts w:ascii="Arial" w:cs="Arial" w:eastAsia="Arial" w:hAnsi="Arial"/>
          <w:sz w:val="17"/>
          <w:szCs w:val="17"/>
          <w:color w:val="auto"/>
        </w:rPr>
        <w:t xml:space="preserve">Cango Inc. (NYSE: CANG) is a leading automotive transaction service platform in China connecting dealers, financial institutions, car buyers, and other industry participants. Founded in 2010 by a group of pioneers in China’s automotive finance industry, the Company is headquartered in Shanghai and engages car buyers through a nationwide dealer network. The Company’s services primarily consist of automotive financing facilitation, automotive transaction facilitation, and after-market services facilitation. By utilizing its competitive advantages in technology, data insights, and cloud-based infrastructure, Cango is able to connect its platform participants while bringing them a premium user experience. Cango’s platform model puts it in a unique position to add value for its platform participants and business partners as the automotive and mobility markets in China continue to grow and evolve. For more information, please visit: </w:t>
      </w:r>
      <w:r>
        <w:rPr>
          <w:rFonts w:ascii="Arial" w:cs="Arial" w:eastAsia="Arial" w:hAnsi="Arial"/>
          <w:sz w:val="17"/>
          <w:szCs w:val="17"/>
          <w:u w:val="single" w:color="auto"/>
          <w:color w:val="auto"/>
        </w:rPr>
        <w:t>www.cangoonline.com</w:t>
      </w:r>
      <w:r>
        <w:rPr>
          <w:rFonts w:ascii="Arial" w:cs="Arial" w:eastAsia="Arial" w:hAnsi="Arial"/>
          <w:sz w:val="17"/>
          <w:szCs w:val="17"/>
          <w:color w:val="auto"/>
        </w:rPr>
        <w:t>.</w:t>
      </w:r>
    </w:p>
    <w:p>
      <w:pPr>
        <w:spacing w:after="0" w:line="110"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7000" w:type="dxa"/>
            <w:vAlign w:val="bottom"/>
          </w:tcPr>
          <w:p>
            <w:pPr>
              <w:spacing w:after="0"/>
              <w:rPr>
                <w:sz w:val="20"/>
                <w:szCs w:val="20"/>
                <w:color w:val="auto"/>
              </w:rPr>
            </w:pPr>
            <w:r>
              <w:rPr>
                <w:rFonts w:ascii="Arial" w:cs="Arial" w:eastAsia="Arial" w:hAnsi="Arial"/>
                <w:sz w:val="18"/>
                <w:szCs w:val="18"/>
                <w:color w:val="auto"/>
              </w:rPr>
              <w:t>Confidential. Not for Outside Distribution.</w:t>
            </w:r>
          </w:p>
        </w:tc>
        <w:tc>
          <w:tcPr>
            <w:tcW w:w="4020" w:type="dxa"/>
            <w:vAlign w:val="bottom"/>
          </w:tcPr>
          <w:p>
            <w:pPr>
              <w:jc w:val="right"/>
              <w:spacing w:after="0"/>
              <w:rPr>
                <w:sz w:val="20"/>
                <w:szCs w:val="20"/>
                <w:color w:val="auto"/>
              </w:rPr>
            </w:pPr>
            <w:r>
              <w:rPr>
                <w:rFonts w:ascii="Arial" w:cs="Arial" w:eastAsia="Arial" w:hAnsi="Arial"/>
                <w:sz w:val="18"/>
                <w:szCs w:val="18"/>
                <w:color w:val="auto"/>
              </w:rPr>
              <w:t>1</w:t>
            </w:r>
          </w:p>
        </w:tc>
      </w:tr>
    </w:tbl>
    <w:p>
      <w:pPr>
        <w:sectPr>
          <w:pgSz w:w="11900" w:h="16838" w:orient="portrait"/>
          <w:cols w:equalWidth="0" w:num="1">
            <w:col w:w="11020"/>
          </w:cols>
          <w:pgMar w:left="440" w:top="121" w:right="439" w:bottom="1440" w:gutter="0" w:footer="0" w:header="0"/>
        </w:sectPr>
      </w:pPr>
    </w:p>
    <w:bookmarkStart w:id="14" w:name="page15"/>
    <w:bookmarkEnd w:id="14"/>
    <w:p>
      <w:pPr>
        <w:spacing w:after="0"/>
        <w:rPr>
          <w:sz w:val="20"/>
          <w:szCs w:val="20"/>
          <w:color w:val="auto"/>
        </w:rPr>
      </w:pPr>
      <w:r>
        <w:rPr>
          <w:rFonts w:ascii="Arial" w:cs="Arial" w:eastAsia="Arial" w:hAnsi="Arial"/>
          <w:sz w:val="18"/>
          <w:szCs w:val="18"/>
          <w:b w:val="1"/>
          <w:bCs w:val="1"/>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73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7174865" cy="38735"/>
                    </a:xfrm>
                    <a:prstGeom prst="rect">
                      <a:avLst/>
                    </a:prstGeom>
                    <a:noFill/>
                  </pic:spPr>
                </pic:pic>
              </a:graphicData>
            </a:graphic>
          </wp:anchor>
        </w:drawing>
        <w:t>Safe Harbor Statement</w:t>
      </w:r>
    </w:p>
    <w:p>
      <w:pPr>
        <w:spacing w:after="0" w:line="121" w:lineRule="exact"/>
        <w:rPr>
          <w:sz w:val="20"/>
          <w:szCs w:val="20"/>
          <w:color w:val="auto"/>
        </w:rPr>
      </w:pPr>
    </w:p>
    <w:p>
      <w:pPr>
        <w:ind w:right="60"/>
        <w:spacing w:after="0" w:line="268" w:lineRule="auto"/>
        <w:rPr>
          <w:sz w:val="20"/>
          <w:szCs w:val="20"/>
          <w:color w:val="auto"/>
        </w:rPr>
      </w:pPr>
      <w:r>
        <w:rPr>
          <w:rFonts w:ascii="Arial" w:cs="Arial" w:eastAsia="Arial" w:hAnsi="Arial"/>
          <w:sz w:val="17"/>
          <w:szCs w:val="17"/>
          <w:color w:val="auto"/>
        </w:rPr>
        <w:t>This announcement contains forward-looking statements. These statements are made under the “safe harbor” provisions of the United States Private Securities Litigation Reform Act of 1995. These forward-looking statements can be identified by terminology such as “will,” “expects,” “anticipates,” “future,” “intends,” “plans,” “believes,” “estimates” and similar statements. Among other things, the “Business Outlook” section and quotations from management in this announcement, contain forward-looking statements. Cango may also make written or oral forward-looking statements in its periodic reports to the SEC, in its annual report to shareholders, in press releases and other written materials and in oral statements made by its officers, directors or employees to third parties. Statements that are not historical facts, including statements about Cango’s beliefs and expectations, are forward-looking statements. Forward-looking statements involve inherent risks and uncertainties. A number of factors could cause actual results to differ materially from those contained in any forward-looking statement, including but not limited to the following: Cango’s goal and strategies; Cango’s expansion plans; Cango’s future business development, financial condition and results of operations; Cango’s expectations regarding demand for, and market acceptance of, its solutions and services; Cango’s expectations regarding keeping and strengthening its relationships with dealers, financial institutions, car buyers and other platform participants; general economic and business conditions; and assumptions underlying or related to any of the foregoing. Further information regarding these and other risks is included in Cango’s filings with the SEC. All information provided in this press release and in the attachments is as of the date of this press release, and Cango does not undertake any obligation to update any forward-looking statement, except as required under applicable law.</w:t>
      </w:r>
    </w:p>
    <w:p>
      <w:pPr>
        <w:spacing w:after="0" w:line="28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Investor Relations Contact</w:t>
      </w:r>
    </w:p>
    <w:p>
      <w:pPr>
        <w:spacing w:after="0" w:line="121" w:lineRule="exact"/>
        <w:rPr>
          <w:sz w:val="20"/>
          <w:szCs w:val="20"/>
          <w:color w:val="auto"/>
        </w:rPr>
      </w:pPr>
    </w:p>
    <w:p>
      <w:pPr>
        <w:spacing w:after="0"/>
        <w:rPr>
          <w:sz w:val="20"/>
          <w:szCs w:val="20"/>
          <w:color w:val="auto"/>
        </w:rPr>
      </w:pPr>
      <w:r>
        <w:rPr>
          <w:rFonts w:ascii="Arial" w:cs="Arial" w:eastAsia="Arial" w:hAnsi="Arial"/>
          <w:sz w:val="18"/>
          <w:szCs w:val="18"/>
          <w:color w:val="auto"/>
        </w:rPr>
        <w:t>Yihe Liu</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Cango Inc.</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Tel: +86 21 3183 5088 ext.5581</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Email: ir@cangoonline.com</w:t>
      </w:r>
    </w:p>
    <w:p>
      <w:pPr>
        <w:spacing w:after="0" w:line="211" w:lineRule="exact"/>
        <w:rPr>
          <w:sz w:val="20"/>
          <w:szCs w:val="20"/>
          <w:color w:val="auto"/>
        </w:rPr>
      </w:pPr>
    </w:p>
    <w:p>
      <w:pPr>
        <w:spacing w:after="0"/>
        <w:rPr>
          <w:sz w:val="20"/>
          <w:szCs w:val="20"/>
          <w:color w:val="auto"/>
        </w:rPr>
      </w:pPr>
      <w:r>
        <w:rPr>
          <w:rFonts w:ascii="Arial" w:cs="Arial" w:eastAsia="Arial" w:hAnsi="Arial"/>
          <w:sz w:val="18"/>
          <w:szCs w:val="18"/>
          <w:color w:val="auto"/>
        </w:rPr>
        <w:t>Emilie Wu</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The Piacente Group, Inc.</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Tel: +86 21 6039 8363</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Email: ir@cangoonline.com</w:t>
      </w:r>
    </w:p>
    <w:p>
      <w:pPr>
        <w:spacing w:after="0" w:line="143"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7000" w:type="dxa"/>
            <w:vAlign w:val="bottom"/>
          </w:tcPr>
          <w:p>
            <w:pPr>
              <w:spacing w:after="0"/>
              <w:rPr>
                <w:sz w:val="20"/>
                <w:szCs w:val="20"/>
                <w:color w:val="auto"/>
              </w:rPr>
            </w:pPr>
            <w:r>
              <w:rPr>
                <w:rFonts w:ascii="Arial" w:cs="Arial" w:eastAsia="Arial" w:hAnsi="Arial"/>
                <w:sz w:val="18"/>
                <w:szCs w:val="18"/>
                <w:color w:val="auto"/>
              </w:rPr>
              <w:t>Confidential. Not for Outside Distribution.</w:t>
            </w:r>
          </w:p>
        </w:tc>
        <w:tc>
          <w:tcPr>
            <w:tcW w:w="4020" w:type="dxa"/>
            <w:vAlign w:val="bottom"/>
          </w:tcPr>
          <w:p>
            <w:pPr>
              <w:jc w:val="right"/>
              <w:spacing w:after="0"/>
              <w:rPr>
                <w:sz w:val="20"/>
                <w:szCs w:val="20"/>
                <w:color w:val="auto"/>
              </w:rPr>
            </w:pPr>
            <w:r>
              <w:rPr>
                <w:rFonts w:ascii="Arial" w:cs="Arial" w:eastAsia="Arial" w:hAnsi="Arial"/>
                <w:sz w:val="18"/>
                <w:szCs w:val="18"/>
                <w:color w:val="auto"/>
              </w:rPr>
              <w:t>2</w:t>
            </w:r>
          </w:p>
        </w:tc>
      </w:tr>
    </w:tbl>
    <w:p>
      <w:pPr>
        <w:spacing w:after="0" w:line="1" w:lineRule="exact"/>
        <w:rPr>
          <w:sz w:val="20"/>
          <w:szCs w:val="20"/>
          <w:color w:val="auto"/>
        </w:rPr>
      </w:pPr>
    </w:p>
    <w:sectPr>
      <w:pgSz w:w="11900" w:h="16838" w:orient="portrait"/>
      <w:cols w:equalWidth="0" w:num="1">
        <w:col w:w="11020"/>
      </w:cols>
      <w:pgMar w:left="440" w:top="270" w:right="4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66334873"/>
    <w:multiLevelType w:val="hybridMultilevel"/>
    <w:lvl w:ilvl="0">
      <w:lvlJc w:val="left"/>
      <w:lvlText w:val="•"/>
      <w:numFmt w:val="bullet"/>
      <w:start w:val="1"/>
    </w:lvl>
  </w:abstractNum>
  <w:abstractNum w:abstractNumId="1">
    <w:nsid w:val="74B0DC51"/>
    <w:multiLevelType w:val="hybridMultilevel"/>
    <w:lvl w:ilvl="0">
      <w:lvlJc w:val="left"/>
      <w:lvlText w:val="•"/>
      <w:numFmt w:val="bullet"/>
      <w:start w:val="1"/>
    </w:lvl>
  </w:abstractNum>
  <w:abstractNum w:abstractNumId="2">
    <w:nsid w:val="19495CFF"/>
    <w:multiLevelType w:val="hybridMultilevel"/>
    <w:lvl w:ilvl="0">
      <w:lvlJc w:val="left"/>
      <w:lvlText w:val="•"/>
      <w:numFmt w:val="bullet"/>
      <w:start w:val="1"/>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2021-08-20T05:12:30Z</dcterms:created>
  <dcterms:modified xsi:type="dcterms:W3CDTF">2021-08-20T05:12:30Z</dcterms:modified>
</cp:coreProperties>
</file>